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EB" w:rsidRPr="00AD7A57" w:rsidRDefault="00BB19EB" w:rsidP="00BB19EB">
      <w:pPr>
        <w:pStyle w:val="Otsikko1"/>
        <w:rPr>
          <w:lang w:val="sv-SE"/>
        </w:rPr>
      </w:pPr>
      <w:r w:rsidRPr="00AD7A57">
        <w:rPr>
          <w:lang w:val="sv-SE"/>
        </w:rPr>
        <w:t>Finlands system för social trygghet</w:t>
      </w:r>
      <w:r w:rsidR="00AD7A57" w:rsidRPr="00AD7A57">
        <w:rPr>
          <w:lang w:val="sv-SE"/>
        </w:rPr>
        <w:t xml:space="preserve">, </w:t>
      </w:r>
      <w:r w:rsidR="00AD7A57">
        <w:rPr>
          <w:lang w:val="sv-SE"/>
        </w:rPr>
        <w:t>alternativa texter</w:t>
      </w:r>
    </w:p>
    <w:p w:rsidR="00BB19EB" w:rsidRDefault="00BB19EB" w:rsidP="00BB19EB">
      <w:pPr>
        <w:pStyle w:val="Otsikko2"/>
        <w:rPr>
          <w:lang w:val="sv-SE"/>
        </w:rPr>
      </w:pPr>
      <w:r w:rsidRPr="00BB19EB">
        <w:rPr>
          <w:lang w:val="sv-SE"/>
        </w:rPr>
        <w:t>Social trygghet i Finland</w:t>
      </w:r>
    </w:p>
    <w:p w:rsidR="00BB19EB" w:rsidRPr="00BB19EB" w:rsidRDefault="00AC508C" w:rsidP="00BB19EB">
      <w:pPr>
        <w:rPr>
          <w:lang w:val="sv-SE"/>
        </w:rPr>
      </w:pPr>
      <w:r w:rsidRPr="00AC508C">
        <w:rPr>
          <w:lang w:val="sv-SE"/>
        </w:rPr>
        <w:t xml:space="preserve">På bilden finns två textrutor med linjer som löper mellan dem och till andra textrutor. Textrutorna beskriver Finlands system för social trygghet genom att visa hur rättigheterna till vissa sociala förmåner och tjänster är uppdelade. I den textruta som finns överst till vänster finns den bosättningsbaserade sociala tryggheten, och i textrutan under den </w:t>
      </w:r>
      <w:proofErr w:type="spellStart"/>
      <w:r w:rsidRPr="00AC508C">
        <w:rPr>
          <w:lang w:val="sv-SE"/>
        </w:rPr>
        <w:t>den</w:t>
      </w:r>
      <w:proofErr w:type="spellEnd"/>
      <w:r w:rsidRPr="00AC508C">
        <w:rPr>
          <w:lang w:val="sv-SE"/>
        </w:rPr>
        <w:t xml:space="preserve"> arbetsbaserade sociala tryggheten. Från den bosättningsbaserade sociala tryggheten löper en linje till textrutan med sjukförsäkringsersättningar, grundläggande utkomststöd, stöd för boende, familjeförmåner, folkpension och garantipension. Från den arbetsbaserade sociala tryggheten löper en linje till textrutan med arbetspensioner och försäkringsförmåner vid olycksfall i arbetet och yrkessjukdomar.  Från både den bosättningsbaserade och den arbetsbaserade sociala tryggheten löper linjer också till textrutan i mitten med arbetslöshetsförmåner, föräldradagpenning och sjukdagpenning. Dessa förmåner och stöd ingår i både den bosättningsbaserade och den arbetsbaserade sociala tryggheten.  </w:t>
      </w:r>
    </w:p>
    <w:p w:rsidR="00BB19EB" w:rsidRPr="00BB19EB" w:rsidRDefault="00BB19EB" w:rsidP="00BB19EB">
      <w:pPr>
        <w:pStyle w:val="Otsikko2"/>
        <w:rPr>
          <w:lang w:val="sv-SE"/>
        </w:rPr>
      </w:pPr>
      <w:proofErr w:type="gramStart"/>
      <w:r w:rsidRPr="00BB19EB">
        <w:rPr>
          <w:lang w:val="sv-SE"/>
        </w:rPr>
        <w:t>Social</w:t>
      </w:r>
      <w:proofErr w:type="gramEnd"/>
      <w:r w:rsidRPr="00BB19EB">
        <w:rPr>
          <w:lang w:val="sv-SE"/>
        </w:rPr>
        <w:t> skyddsnät i Finland</w:t>
      </w:r>
    </w:p>
    <w:p w:rsidR="00AC508C" w:rsidRPr="00AC508C" w:rsidRDefault="00AC508C" w:rsidP="00AC508C">
      <w:pPr>
        <w:rPr>
          <w:lang w:val="sv-SE"/>
        </w:rPr>
      </w:pPr>
      <w:r w:rsidRPr="00AC508C">
        <w:rPr>
          <w:lang w:val="sv-SE"/>
        </w:rPr>
        <w:t>På bilden finns bollar och textrutor i olika färger, och linjer och pilar som löper mellan dem. De beskriver de olika delarna av det sociala skyddsnätet och relationerna mellan dem. Individen är i vänstra kanten av bilden. Det går streckade linjer från individen till de verkställare av det sociala skyddsnätet som finns till höger och som består av de aktörer som individen är i kontakt med. På den högra sidan av verkställarna, i bildens största område, finns textrutor som märkts med olika färger. Varje textruta innehåller en viss förmån eller tjänst. Textrutans gröna färg syftar på tjänster, den blå färgen på grundskydd och den rosa färgen på förtjänstskydd. Bilden illustrerar hur många kopplingar det finns mellan förmånerna och de kopplingar som finns mellan förmånerna och tjänsterna. Av bilden framgår hur många olika aktörer som arbetar med samma helhet i de olika delarna av det sociala skyddsnätet. I många förmåner ingår både grundskydds- och förvärvsskyddsandelar. Rehabiliteringen är en egen helhet på bilden i och med att största delen av verkställarna deltar i genomförandet av den. Rehabiliteringen är dessutom den enda helheten som består av s</w:t>
      </w:r>
      <w:bookmarkStart w:id="0" w:name="_GoBack"/>
      <w:bookmarkEnd w:id="0"/>
      <w:r w:rsidRPr="00AC508C">
        <w:rPr>
          <w:lang w:val="sv-SE"/>
        </w:rPr>
        <w:t xml:space="preserve">åväl grundskydds-, förtjänstskydds- som serviceandelar. Bilden ser visuellt ut som ett spindelnät på grund av linjerna som korsar varandra. Andra centrala helheter i bilden är förmånerna för barnfamiljer och småbarnspedagogiken, helheten med pensionerna och helheten med utkomstskyddet för arbetslösa. </w:t>
      </w:r>
    </w:p>
    <w:p w:rsidR="005567D8" w:rsidRPr="00BB19EB" w:rsidRDefault="005567D8" w:rsidP="005567D8">
      <w:pPr>
        <w:pStyle w:val="Otsikko2"/>
        <w:rPr>
          <w:lang w:val="sv-SE"/>
        </w:rPr>
      </w:pPr>
    </w:p>
    <w:p w:rsidR="00BB19EB" w:rsidRPr="00BB19EB" w:rsidRDefault="00BB19EB" w:rsidP="00BB19EB">
      <w:pPr>
        <w:pStyle w:val="Otsikko2"/>
        <w:rPr>
          <w:lang w:val="sv-SE"/>
        </w:rPr>
      </w:pPr>
      <w:r w:rsidRPr="00BB19EB">
        <w:rPr>
          <w:lang w:val="sv-SE"/>
        </w:rPr>
        <w:t>Finansieringen av systemet för social trygghet</w:t>
      </w:r>
    </w:p>
    <w:p w:rsidR="00BB19EB" w:rsidRPr="00BB19EB" w:rsidRDefault="00BB19EB" w:rsidP="00BB19EB">
      <w:pPr>
        <w:rPr>
          <w:lang w:val="sv-SE"/>
        </w:rPr>
      </w:pPr>
      <w:r w:rsidRPr="00BB19EB">
        <w:rPr>
          <w:lang w:val="sv-SE"/>
        </w:rPr>
        <w:t>Bilden består av tre rektanglar, och var och en av dem utgör en helhet inom den sociala tryggheten. Bilden beskriver den huvudsakliga finansieringen för varje del av den sociala tryggheten. Rektangeln till vänster är social- och hälsovårdstjänsterna, som i huvudsak har finansierats med kommunernas skatter, statsandelar samt klientavgifter. Rektangeln uppe till höger är inkomstrelaterade förmåner som i huvudsak finansieras med försäkringspremier som betalas av arbetstagare och arbetsgivare. Den sista rektangeln nere till höger är grundtrygghetsförmånerna, som i huvudsak finansieras med skatter.</w:t>
      </w:r>
    </w:p>
    <w:p w:rsidR="005567D8" w:rsidRPr="00BB19EB" w:rsidRDefault="005567D8" w:rsidP="005567D8">
      <w:pPr>
        <w:rPr>
          <w:lang w:val="sv-SE"/>
        </w:rPr>
      </w:pPr>
    </w:p>
    <w:p w:rsidR="00BB19EB" w:rsidRPr="00AC508C" w:rsidRDefault="00BB19EB" w:rsidP="00BB19EB">
      <w:pPr>
        <w:pStyle w:val="Otsikko2"/>
        <w:rPr>
          <w:lang w:val="sv-SE"/>
        </w:rPr>
      </w:pPr>
      <w:r w:rsidRPr="00AC508C">
        <w:rPr>
          <w:lang w:val="sv-SE"/>
        </w:rPr>
        <w:t>Utgifterna för den sociala tryggheten 2018, 70,2 miljarder euro</w:t>
      </w:r>
    </w:p>
    <w:p w:rsidR="00BB19EB" w:rsidRPr="00BB19EB" w:rsidRDefault="00BB19EB" w:rsidP="00BB19EB">
      <w:pPr>
        <w:rPr>
          <w:lang w:val="sv-SE"/>
        </w:rPr>
      </w:pPr>
      <w:r w:rsidRPr="00BB19EB">
        <w:rPr>
          <w:lang w:val="sv-SE"/>
        </w:rPr>
        <w:t xml:space="preserve">På bilden finns ett pajdiagram med bitar i olika färger. Pajen åskådliggör fördelningen av de totala utgifterna på 70,2 miljarder euro för social trygghet år 2018 mellan de olika kategorierna. Utgifterna för ålderdom utgör 42,35 procent av alla utgifter och är således den klart största kategorin. Den näst största kategorin är sjukdom och hälsa, till vilken 22,23 procent av utgifterna hänför sig. Därefter är de största kategorierna funktionsbegränsningar samt familjer och barn, som vardera omfattar drygt 9 procent. Av utgifterna riktas 6,8 procent till arbetslöshet. Utgifterna för de övriga kategorierna är mindre än 3 procent för respektive av dem. Nere på bilden finns ytterligare ett omnämnande om att statistiken innefattar utkomstskydd, tjänster och förvaltning. </w:t>
      </w:r>
    </w:p>
    <w:p w:rsidR="00AD7A57" w:rsidRPr="00AC508C" w:rsidRDefault="00AD7A57" w:rsidP="005567D8">
      <w:pPr>
        <w:rPr>
          <w:rFonts w:eastAsiaTheme="majorEastAsia"/>
          <w:color w:val="595965" w:themeColor="text2"/>
          <w:sz w:val="24"/>
          <w:szCs w:val="26"/>
          <w:lang w:val="sv-SE"/>
        </w:rPr>
      </w:pPr>
    </w:p>
    <w:p w:rsidR="00AD7A57" w:rsidRPr="00AD7A57" w:rsidRDefault="00AD7A57" w:rsidP="00AD7A57">
      <w:pPr>
        <w:pStyle w:val="Otsikko2"/>
        <w:rPr>
          <w:lang w:val="sv-SE"/>
        </w:rPr>
      </w:pPr>
      <w:r w:rsidRPr="00AD7A57">
        <w:rPr>
          <w:lang w:val="sv-SE"/>
        </w:rPr>
        <w:lastRenderedPageBreak/>
        <w:t>Utgifterna för den sociala tryggheten enligt huvudgrupp åren 1980–2018, miljarder euro</w:t>
      </w:r>
    </w:p>
    <w:p w:rsidR="00AD7A57" w:rsidRPr="00AD7A57" w:rsidRDefault="00AD7A57" w:rsidP="00AD7A57">
      <w:pPr>
        <w:rPr>
          <w:lang w:val="sv-SE"/>
        </w:rPr>
      </w:pPr>
      <w:r w:rsidRPr="00AD7A57">
        <w:rPr>
          <w:lang w:val="sv-SE"/>
        </w:rPr>
        <w:t>På denna sida finns en diagramtidsserie som beskriver hur utgifterna för social trygghet har utvecklats från år 1980 till år 2018. Utgifterna för social trygghet har ökat från drygt fem miljarder euro år 1980 till något över 70,2 miljarder euro år 2018. Utgifterna har ökat under hela tidsserien och utgifterna har ökat för alla kategorier. Utgiftsökningen har tilltagit betydligt sedan början av 2000-talet, eftersom utgifterna ännu år 2000 var något över 30 miljarder euro. Liksom på den föregående bilden är ålderdomen den största kategorin och den har också ökat mest. Enligt bilden har ökningen av utgifterna för social trygghet stabiliserats efter år 2016, och till exempel utgifterna för sjukdomar och hälsa, den näst största kategorin, har inte förändrats under de senaste åren enligt diagrammet.</w:t>
      </w:r>
    </w:p>
    <w:p w:rsidR="005567D8" w:rsidRPr="00AD7A57" w:rsidRDefault="005567D8" w:rsidP="005567D8">
      <w:pPr>
        <w:rPr>
          <w:lang w:val="sv-SE"/>
        </w:rPr>
      </w:pPr>
    </w:p>
    <w:p w:rsidR="00AD7A57" w:rsidRPr="00AC508C" w:rsidRDefault="00AD7A57" w:rsidP="00AD7A57">
      <w:pPr>
        <w:pStyle w:val="Otsikko2"/>
        <w:rPr>
          <w:lang w:val="sv-SE"/>
        </w:rPr>
      </w:pPr>
      <w:r w:rsidRPr="00AC508C">
        <w:rPr>
          <w:lang w:val="sv-SE"/>
        </w:rPr>
        <w:t>Utgifterna för den sociala tryggheten enligt huvudgrupp åren 1980–2018, miljarder euro</w:t>
      </w:r>
    </w:p>
    <w:p w:rsidR="00AD7A57" w:rsidRPr="00AD7A57" w:rsidRDefault="00AD7A57" w:rsidP="00AD7A57">
      <w:pPr>
        <w:rPr>
          <w:lang w:val="sv-SE"/>
        </w:rPr>
      </w:pPr>
      <w:r w:rsidRPr="00AD7A57">
        <w:rPr>
          <w:lang w:val="sv-SE"/>
        </w:rPr>
        <w:t xml:space="preserve">Bilden innehåller ett staplat </w:t>
      </w:r>
      <w:proofErr w:type="spellStart"/>
      <w:r w:rsidRPr="00AD7A57">
        <w:rPr>
          <w:lang w:val="sv-SE"/>
        </w:rPr>
        <w:t>ytdiagram</w:t>
      </w:r>
      <w:proofErr w:type="spellEnd"/>
      <w:r w:rsidRPr="00AD7A57">
        <w:rPr>
          <w:lang w:val="sv-SE"/>
        </w:rPr>
        <w:t xml:space="preserve"> med olika finansiärers andelar av finansieringen av den sociala tryggheten och utvecklingen av denna mellan år 1995 och år 2018. Diagrammet täcker 100 procent. Finansiärer av den sociala tryggheten är staten, kommunerna, arbetsgivarna, arbetstagarna och övriga inkomster. Den största finansiären av den sociala tryggheten under hela granskningsperioden i diagrammet är arbetsgivarna, vars finansieringsandelar har varit 30–40 procent. Den näst största finansiären är staten med en finansieringsandel på 23–30 procent och den tredje största är kommunerna med en finansieringsandel på cirka 16–23 procent. Av diagrammet framgår att arbetsgivarnas finansieringsandelar tydligt ökat på 2000-talet, vilket minskat statens och arbetstagarnas finansieringsandelar. På 2010-talet började arbetsgivarnas finansieringsandelar tydligt minska. År 2002 var arbetsgivarnas finansieringsandel cirka 39 procent och år 2018 cirka 31 procent. Samtidigt har statens, kommunernas och arbetstagarnas finansieringsandelar ökat i förhållande till den totala finansieringen. Övriga inkomster har hållit sig på en jämn nivå på drygt 5 procent.</w:t>
      </w:r>
    </w:p>
    <w:p w:rsidR="00D720EA" w:rsidRPr="00AD7A57" w:rsidRDefault="00D720EA" w:rsidP="005567D8">
      <w:pPr>
        <w:ind w:left="0" w:right="423"/>
        <w:rPr>
          <w:lang w:val="sv-SE"/>
        </w:rPr>
      </w:pPr>
    </w:p>
    <w:sectPr w:rsidR="00D720EA" w:rsidRPr="00AD7A57" w:rsidSect="007B6CCE">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134"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C8" w:rsidRDefault="007806C8" w:rsidP="00461094">
      <w:r>
        <w:separator/>
      </w:r>
    </w:p>
    <w:p w:rsidR="007806C8" w:rsidRDefault="007806C8" w:rsidP="00461094"/>
    <w:p w:rsidR="007806C8" w:rsidRDefault="007806C8" w:rsidP="00461094"/>
    <w:p w:rsidR="007806C8" w:rsidRDefault="007806C8" w:rsidP="00461094"/>
    <w:p w:rsidR="007806C8" w:rsidRDefault="007806C8" w:rsidP="00461094"/>
    <w:p w:rsidR="007806C8" w:rsidRDefault="007806C8" w:rsidP="00461094"/>
  </w:endnote>
  <w:endnote w:type="continuationSeparator" w:id="0">
    <w:p w:rsidR="007806C8" w:rsidRDefault="007806C8" w:rsidP="00461094">
      <w:r>
        <w:continuationSeparator/>
      </w:r>
    </w:p>
    <w:p w:rsidR="007806C8" w:rsidRDefault="007806C8" w:rsidP="00461094"/>
    <w:p w:rsidR="007806C8" w:rsidRDefault="007806C8" w:rsidP="00461094"/>
    <w:p w:rsidR="007806C8" w:rsidRDefault="007806C8" w:rsidP="00461094"/>
    <w:p w:rsidR="007806C8" w:rsidRDefault="007806C8" w:rsidP="00461094"/>
    <w:p w:rsidR="007806C8" w:rsidRDefault="007806C8" w:rsidP="0046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20000287" w:usb1="00000001" w:usb2="00000000" w:usb3="00000000" w:csb0="0000019F" w:csb1="00000000"/>
  </w:font>
  <w:font w:name="Minion Pro">
    <w:altName w:val="Times New Roman"/>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10" w:rsidRDefault="002E3C10" w:rsidP="00461094">
    <w:pPr>
      <w:pStyle w:val="Alatunniste"/>
    </w:pPr>
  </w:p>
  <w:p w:rsidR="00FC3E98" w:rsidRDefault="00FC3E98" w:rsidP="00461094"/>
  <w:p w:rsidR="00FC3E98" w:rsidRDefault="00FC3E98" w:rsidP="004610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98" w:rsidRPr="007B6CCE" w:rsidRDefault="00074076" w:rsidP="00461094">
    <w:pPr>
      <w:pStyle w:val="BasicParagraph"/>
    </w:pPr>
    <w:r>
      <w:rPr>
        <w:noProof/>
        <w:lang w:val="fi-FI" w:eastAsia="fi-FI"/>
      </w:rPr>
      <w:drawing>
        <wp:anchor distT="0" distB="0" distL="114300" distR="114300" simplePos="0" relativeHeight="251672064" behindDoc="0" locked="0" layoutInCell="1" allowOverlap="1" wp14:anchorId="5B5F49C6" wp14:editId="719E2896">
          <wp:simplePos x="0" y="0"/>
          <wp:positionH relativeFrom="page">
            <wp:align>left</wp:align>
          </wp:positionH>
          <wp:positionV relativeFrom="paragraph">
            <wp:posOffset>84032</wp:posOffset>
          </wp:positionV>
          <wp:extent cx="7524750" cy="291251"/>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TU-WordpohjaElementtiAla-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29125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6" w:rsidRPr="002E3C10" w:rsidRDefault="00074076" w:rsidP="00074076">
    <w:pPr>
      <w:pStyle w:val="yltunnisteenlisteksti"/>
    </w:pPr>
    <w:r>
      <w:rPr>
        <w:noProof/>
      </w:rPr>
      <w:drawing>
        <wp:anchor distT="0" distB="0" distL="114300" distR="114300" simplePos="0" relativeHeight="251667968" behindDoc="0" locked="0" layoutInCell="1" allowOverlap="1">
          <wp:simplePos x="0" y="0"/>
          <wp:positionH relativeFrom="page">
            <wp:align>right</wp:align>
          </wp:positionH>
          <wp:positionV relativeFrom="paragraph">
            <wp:posOffset>-118745</wp:posOffset>
          </wp:positionV>
          <wp:extent cx="7524750" cy="291251"/>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TU-WordpohjaElementtiAla-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2912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C8" w:rsidRDefault="007806C8" w:rsidP="00461094">
      <w:r>
        <w:separator/>
      </w:r>
    </w:p>
    <w:p w:rsidR="007806C8" w:rsidRDefault="007806C8" w:rsidP="00461094"/>
    <w:p w:rsidR="007806C8" w:rsidRDefault="007806C8" w:rsidP="00461094"/>
    <w:p w:rsidR="007806C8" w:rsidRDefault="007806C8" w:rsidP="00461094"/>
    <w:p w:rsidR="007806C8" w:rsidRDefault="007806C8" w:rsidP="00461094"/>
    <w:p w:rsidR="007806C8" w:rsidRDefault="007806C8" w:rsidP="00461094"/>
  </w:footnote>
  <w:footnote w:type="continuationSeparator" w:id="0">
    <w:p w:rsidR="007806C8" w:rsidRDefault="007806C8" w:rsidP="00461094">
      <w:r>
        <w:continuationSeparator/>
      </w:r>
    </w:p>
    <w:p w:rsidR="007806C8" w:rsidRDefault="007806C8" w:rsidP="00461094"/>
    <w:p w:rsidR="007806C8" w:rsidRDefault="007806C8" w:rsidP="00461094"/>
    <w:p w:rsidR="007806C8" w:rsidRDefault="007806C8" w:rsidP="00461094"/>
    <w:p w:rsidR="007806C8" w:rsidRDefault="007806C8" w:rsidP="00461094"/>
    <w:p w:rsidR="007806C8" w:rsidRDefault="007806C8" w:rsidP="004610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10" w:rsidRDefault="002E3C10">
    <w:pPr>
      <w:pStyle w:val="Yltunniste"/>
    </w:pPr>
  </w:p>
  <w:p w:rsidR="00FC3E98" w:rsidRDefault="00FC3E98" w:rsidP="00461094"/>
  <w:p w:rsidR="00FC3E98" w:rsidRDefault="00FC3E98" w:rsidP="004610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14" w:type="dxa"/>
      <w:tblInd w:w="-5" w:type="dxa"/>
      <w:tblLayout w:type="fixed"/>
      <w:tblCellMar>
        <w:left w:w="0" w:type="dxa"/>
        <w:right w:w="0" w:type="dxa"/>
      </w:tblCellMar>
      <w:tblLook w:val="0000" w:firstRow="0" w:lastRow="0" w:firstColumn="0" w:lastColumn="0" w:noHBand="0" w:noVBand="0"/>
    </w:tblPr>
    <w:tblGrid>
      <w:gridCol w:w="4111"/>
      <w:gridCol w:w="2693"/>
      <w:gridCol w:w="3124"/>
      <w:gridCol w:w="1686"/>
    </w:tblGrid>
    <w:tr w:rsidR="00074076" w:rsidRPr="007B6CCE" w:rsidTr="00074076">
      <w:trPr>
        <w:cantSplit/>
      </w:trPr>
      <w:tc>
        <w:tcPr>
          <w:tcW w:w="4111" w:type="dxa"/>
          <w:vMerge w:val="restart"/>
        </w:tcPr>
        <w:p w:rsidR="00074076" w:rsidRPr="003C103F" w:rsidRDefault="00074076" w:rsidP="007B6CCE">
          <w:pPr>
            <w:pStyle w:val="yltunnisteenlisteksti"/>
          </w:pPr>
        </w:p>
      </w:tc>
      <w:tc>
        <w:tcPr>
          <w:tcW w:w="2693" w:type="dxa"/>
          <w:tcMar>
            <w:right w:w="284" w:type="dxa"/>
          </w:tcMar>
        </w:tcPr>
        <w:p w:rsidR="00074076" w:rsidRPr="006D7716" w:rsidRDefault="00074076" w:rsidP="007B6CCE">
          <w:pPr>
            <w:pStyle w:val="Asialistaotsikko"/>
          </w:pPr>
        </w:p>
      </w:tc>
      <w:tc>
        <w:tcPr>
          <w:tcW w:w="3124" w:type="dxa"/>
        </w:tcPr>
        <w:p w:rsidR="00074076" w:rsidRPr="007B6CCE" w:rsidRDefault="00074076" w:rsidP="007B6CCE">
          <w:pPr>
            <w:pStyle w:val="yltunnisteenlisteksti"/>
            <w:rPr>
              <w:rStyle w:val="Sivunumero"/>
            </w:rPr>
          </w:pPr>
          <w:r w:rsidRPr="007B6CCE">
            <w:rPr>
              <w:rStyle w:val="Sivunumero"/>
            </w:rPr>
            <w:fldChar w:fldCharType="begin"/>
          </w:r>
          <w:r w:rsidRPr="007B6CCE">
            <w:rPr>
              <w:rStyle w:val="Sivunumero"/>
            </w:rPr>
            <w:instrText xml:space="preserve"> PAGE </w:instrText>
          </w:r>
          <w:r w:rsidRPr="007B6CCE">
            <w:rPr>
              <w:rStyle w:val="Sivunumero"/>
            </w:rPr>
            <w:fldChar w:fldCharType="separate"/>
          </w:r>
          <w:r w:rsidR="00AC508C">
            <w:rPr>
              <w:rStyle w:val="Sivunumero"/>
              <w:noProof/>
            </w:rPr>
            <w:t>2</w:t>
          </w:r>
          <w:r w:rsidRPr="007B6CCE">
            <w:rPr>
              <w:rStyle w:val="Sivunumero"/>
            </w:rPr>
            <w:fldChar w:fldCharType="end"/>
          </w:r>
          <w:r w:rsidRPr="007B6CCE">
            <w:rPr>
              <w:rStyle w:val="Sivunumero"/>
            </w:rPr>
            <w:t>(</w:t>
          </w:r>
          <w:r w:rsidRPr="007B6CCE">
            <w:rPr>
              <w:rStyle w:val="Sivunumero"/>
            </w:rPr>
            <w:fldChar w:fldCharType="begin"/>
          </w:r>
          <w:r w:rsidRPr="007B6CCE">
            <w:rPr>
              <w:rStyle w:val="Sivunumero"/>
            </w:rPr>
            <w:instrText xml:space="preserve"> NUMPAGES </w:instrText>
          </w:r>
          <w:r w:rsidRPr="007B6CCE">
            <w:rPr>
              <w:rStyle w:val="Sivunumero"/>
            </w:rPr>
            <w:fldChar w:fldCharType="separate"/>
          </w:r>
          <w:r w:rsidR="00AC508C">
            <w:rPr>
              <w:rStyle w:val="Sivunumero"/>
              <w:noProof/>
            </w:rPr>
            <w:t>2</w:t>
          </w:r>
          <w:r w:rsidRPr="007B6CCE">
            <w:rPr>
              <w:rStyle w:val="Sivunumero"/>
            </w:rPr>
            <w:fldChar w:fldCharType="end"/>
          </w:r>
          <w:r w:rsidRPr="007B6CCE">
            <w:rPr>
              <w:rStyle w:val="Sivunumero"/>
            </w:rPr>
            <w:t>)</w:t>
          </w:r>
        </w:p>
      </w:tc>
      <w:tc>
        <w:tcPr>
          <w:tcW w:w="1686" w:type="dxa"/>
        </w:tcPr>
        <w:p w:rsidR="00074076" w:rsidRPr="007B6CCE" w:rsidRDefault="00074076" w:rsidP="007B6CCE">
          <w:pPr>
            <w:pStyle w:val="yltunnisteenlisteksti"/>
            <w:rPr>
              <w:rStyle w:val="Sivunumero"/>
            </w:rPr>
          </w:pPr>
        </w:p>
      </w:tc>
    </w:tr>
    <w:tr w:rsidR="00074076" w:rsidRPr="007B6CCE" w:rsidTr="00074076">
      <w:trPr>
        <w:cantSplit/>
      </w:trPr>
      <w:tc>
        <w:tcPr>
          <w:tcW w:w="4111" w:type="dxa"/>
          <w:vMerge/>
        </w:tcPr>
        <w:p w:rsidR="00074076" w:rsidRPr="003C103F" w:rsidRDefault="00074076" w:rsidP="007B6CCE">
          <w:pPr>
            <w:pStyle w:val="yltunnisteenlisteksti"/>
          </w:pPr>
        </w:p>
      </w:tc>
      <w:tc>
        <w:tcPr>
          <w:tcW w:w="2693" w:type="dxa"/>
          <w:tcMar>
            <w:right w:w="284" w:type="dxa"/>
          </w:tcMar>
        </w:tcPr>
        <w:p w:rsidR="00074076" w:rsidRPr="00CC3D81" w:rsidRDefault="00074076" w:rsidP="007B6CCE">
          <w:pPr>
            <w:pStyle w:val="yltunnisteenlisteksti"/>
            <w:jc w:val="left"/>
          </w:pPr>
        </w:p>
      </w:tc>
      <w:tc>
        <w:tcPr>
          <w:tcW w:w="3124" w:type="dxa"/>
        </w:tcPr>
        <w:p w:rsidR="00074076" w:rsidRPr="007B6CCE" w:rsidRDefault="00074076" w:rsidP="007B6CCE">
          <w:pPr>
            <w:pStyle w:val="yltunnisteenlisteksti"/>
          </w:pPr>
        </w:p>
      </w:tc>
      <w:tc>
        <w:tcPr>
          <w:tcW w:w="1686" w:type="dxa"/>
        </w:tcPr>
        <w:p w:rsidR="00074076" w:rsidRPr="007B6CCE" w:rsidRDefault="00074076" w:rsidP="007B6CCE">
          <w:pPr>
            <w:pStyle w:val="yltunnisteenlisteksti"/>
          </w:pPr>
        </w:p>
      </w:tc>
    </w:tr>
    <w:tr w:rsidR="00074076" w:rsidRPr="007B6CCE" w:rsidTr="00074076">
      <w:tc>
        <w:tcPr>
          <w:tcW w:w="4111" w:type="dxa"/>
        </w:tcPr>
        <w:p w:rsidR="00074076" w:rsidRPr="003C103F" w:rsidRDefault="00074076" w:rsidP="007B6CCE">
          <w:pPr>
            <w:pStyle w:val="yltunnisteenlisteksti"/>
          </w:pPr>
        </w:p>
      </w:tc>
      <w:tc>
        <w:tcPr>
          <w:tcW w:w="2693" w:type="dxa"/>
          <w:tcMar>
            <w:right w:w="284" w:type="dxa"/>
          </w:tcMar>
        </w:tcPr>
        <w:p w:rsidR="00074076" w:rsidRPr="00CC3D81" w:rsidRDefault="00074076" w:rsidP="007B6CCE">
          <w:pPr>
            <w:pStyle w:val="yltunnisteenlisteksti"/>
            <w:jc w:val="left"/>
          </w:pPr>
        </w:p>
      </w:tc>
      <w:tc>
        <w:tcPr>
          <w:tcW w:w="3124" w:type="dxa"/>
        </w:tcPr>
        <w:p w:rsidR="00074076" w:rsidRPr="007B6CCE" w:rsidRDefault="00074076" w:rsidP="007B6CCE">
          <w:pPr>
            <w:pStyle w:val="yltunnisteenlisteksti"/>
          </w:pPr>
        </w:p>
      </w:tc>
      <w:tc>
        <w:tcPr>
          <w:tcW w:w="1686" w:type="dxa"/>
        </w:tcPr>
        <w:p w:rsidR="00074076" w:rsidRPr="007B6CCE" w:rsidRDefault="00074076" w:rsidP="007B6CCE">
          <w:pPr>
            <w:pStyle w:val="yltunnisteenlisteksti"/>
          </w:pPr>
        </w:p>
      </w:tc>
    </w:tr>
  </w:tbl>
  <w:p w:rsidR="007B6CCE" w:rsidRPr="007B6CCE" w:rsidRDefault="00074076" w:rsidP="009F4E01">
    <w:pPr>
      <w:pStyle w:val="yltunnisteenlisteksti"/>
    </w:pPr>
    <w:r>
      <w:rPr>
        <w:noProof/>
      </w:rPr>
      <w:drawing>
        <wp:anchor distT="0" distB="0" distL="114300" distR="114300" simplePos="0" relativeHeight="251670016" behindDoc="1" locked="0" layoutInCell="1" allowOverlap="1" wp14:anchorId="56436A76" wp14:editId="73581737">
          <wp:simplePos x="0" y="0"/>
          <wp:positionH relativeFrom="page">
            <wp:align>right</wp:align>
          </wp:positionH>
          <wp:positionV relativeFrom="page">
            <wp:align>top</wp:align>
          </wp:positionV>
          <wp:extent cx="7556516" cy="1455864"/>
          <wp:effectExtent l="0" t="0" r="635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16" cy="145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4423"/>
      <w:gridCol w:w="2897"/>
      <w:gridCol w:w="2587"/>
    </w:tblGrid>
    <w:tr w:rsidR="00B079DE" w:rsidRPr="007B6CCE" w:rsidTr="00074076">
      <w:trPr>
        <w:cantSplit/>
        <w:trHeight w:val="295"/>
      </w:trPr>
      <w:tc>
        <w:tcPr>
          <w:tcW w:w="4423" w:type="dxa"/>
          <w:vMerge w:val="restart"/>
        </w:tcPr>
        <w:p w:rsidR="00B079DE" w:rsidRPr="003C103F" w:rsidRDefault="00B079DE" w:rsidP="00B079DE">
          <w:pPr>
            <w:pStyle w:val="Asialistaotsikko"/>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rPr>
              <w:rStyle w:val="Sivunumero"/>
            </w:rPr>
          </w:pPr>
        </w:p>
      </w:tc>
    </w:tr>
    <w:tr w:rsidR="00B079DE" w:rsidRPr="007B6CCE" w:rsidTr="00074076">
      <w:trPr>
        <w:cantSplit/>
        <w:trHeight w:val="247"/>
      </w:trPr>
      <w:tc>
        <w:tcPr>
          <w:tcW w:w="4423" w:type="dxa"/>
          <w:vMerge/>
        </w:tcPr>
        <w:p w:rsidR="00B079DE" w:rsidRPr="003C103F" w:rsidRDefault="00B079DE" w:rsidP="00B079DE">
          <w:pPr>
            <w:pStyle w:val="yltunnisteenlisteksti"/>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pPr>
        </w:p>
      </w:tc>
    </w:tr>
    <w:tr w:rsidR="00B079DE" w:rsidRPr="007B6CCE" w:rsidTr="00074076">
      <w:trPr>
        <w:trHeight w:val="247"/>
      </w:trPr>
      <w:tc>
        <w:tcPr>
          <w:tcW w:w="4423" w:type="dxa"/>
        </w:tcPr>
        <w:p w:rsidR="00B079DE" w:rsidRPr="00CC3D81" w:rsidRDefault="00B079DE" w:rsidP="00B079DE">
          <w:pPr>
            <w:pStyle w:val="yltunnisteenlisteksti"/>
            <w:jc w:val="left"/>
          </w:pPr>
        </w:p>
      </w:tc>
      <w:tc>
        <w:tcPr>
          <w:tcW w:w="2897" w:type="dxa"/>
          <w:tcMar>
            <w:right w:w="284" w:type="dxa"/>
          </w:tcMar>
        </w:tcPr>
        <w:p w:rsidR="00B079DE" w:rsidRPr="00CC3D81" w:rsidRDefault="00B079DE" w:rsidP="00B079DE">
          <w:pPr>
            <w:pStyle w:val="yltunnisteenlisteksti"/>
            <w:jc w:val="left"/>
          </w:pPr>
        </w:p>
      </w:tc>
      <w:tc>
        <w:tcPr>
          <w:tcW w:w="2587" w:type="dxa"/>
        </w:tcPr>
        <w:p w:rsidR="00B079DE" w:rsidRPr="007B6CCE" w:rsidRDefault="00B079DE" w:rsidP="00B079DE">
          <w:pPr>
            <w:pStyle w:val="yltunnisteenlisteksti"/>
          </w:pPr>
        </w:p>
      </w:tc>
    </w:tr>
  </w:tbl>
  <w:p w:rsidR="00FC3E98" w:rsidRDefault="00074076" w:rsidP="009F4E01">
    <w:pPr>
      <w:pStyle w:val="yltunnisteenlisteksti"/>
    </w:pPr>
    <w:r>
      <w:rPr>
        <w:noProof/>
      </w:rPr>
      <w:drawing>
        <wp:anchor distT="0" distB="0" distL="114300" distR="114300" simplePos="0" relativeHeight="251659776" behindDoc="1" locked="0" layoutInCell="1" allowOverlap="1">
          <wp:simplePos x="0" y="0"/>
          <wp:positionH relativeFrom="page">
            <wp:align>left</wp:align>
          </wp:positionH>
          <wp:positionV relativeFrom="page">
            <wp:align>top</wp:align>
          </wp:positionV>
          <wp:extent cx="7556516" cy="1455864"/>
          <wp:effectExtent l="0" t="0" r="635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16" cy="14558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7CC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3016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63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081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03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67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060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82C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C49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E0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6" w15:restartNumberingAfterBreak="0">
    <w:nsid w:val="68194233"/>
    <w:multiLevelType w:val="hybridMultilevel"/>
    <w:tmpl w:val="A68A9166"/>
    <w:lvl w:ilvl="0" w:tplc="3438BBB6">
      <w:start w:val="1"/>
      <w:numFmt w:val="bullet"/>
      <w:pStyle w:val="Luettelokappale"/>
      <w:lvlText w:val=""/>
      <w:lvlJc w:val="left"/>
      <w:pPr>
        <w:ind w:left="1400" w:hanging="360"/>
      </w:pPr>
      <w:rPr>
        <w:rFonts w:ascii="Symbol" w:hAnsi="Symbol" w:hint="default"/>
        <w:color w:val="365ABD" w:themeColor="accent3"/>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17" w15:restartNumberingAfterBreak="0">
    <w:nsid w:val="736E156C"/>
    <w:multiLevelType w:val="hybridMultilevel"/>
    <w:tmpl w:val="FAA4133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i-FI" w:vendorID="64" w:dllVersion="131078"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15D"/>
    <w:rsid w:val="000373BD"/>
    <w:rsid w:val="00074076"/>
    <w:rsid w:val="00083F94"/>
    <w:rsid w:val="00087E2B"/>
    <w:rsid w:val="00091A97"/>
    <w:rsid w:val="000D79C4"/>
    <w:rsid w:val="000F2157"/>
    <w:rsid w:val="00140EF8"/>
    <w:rsid w:val="00146B2A"/>
    <w:rsid w:val="00153384"/>
    <w:rsid w:val="001927A7"/>
    <w:rsid w:val="001C5F59"/>
    <w:rsid w:val="002867AA"/>
    <w:rsid w:val="002E3C10"/>
    <w:rsid w:val="002F52C2"/>
    <w:rsid w:val="00305B46"/>
    <w:rsid w:val="003241A6"/>
    <w:rsid w:val="00377BED"/>
    <w:rsid w:val="003B14B0"/>
    <w:rsid w:val="003C01B5"/>
    <w:rsid w:val="003C103F"/>
    <w:rsid w:val="003E5ED7"/>
    <w:rsid w:val="00404032"/>
    <w:rsid w:val="00414729"/>
    <w:rsid w:val="00415193"/>
    <w:rsid w:val="004429C7"/>
    <w:rsid w:val="00451CEA"/>
    <w:rsid w:val="004532FF"/>
    <w:rsid w:val="00461094"/>
    <w:rsid w:val="004C065B"/>
    <w:rsid w:val="004C2F28"/>
    <w:rsid w:val="005567D8"/>
    <w:rsid w:val="00584043"/>
    <w:rsid w:val="00591235"/>
    <w:rsid w:val="00597082"/>
    <w:rsid w:val="005A430F"/>
    <w:rsid w:val="005B297E"/>
    <w:rsid w:val="005D383F"/>
    <w:rsid w:val="005F1333"/>
    <w:rsid w:val="005F1C27"/>
    <w:rsid w:val="005F2CDD"/>
    <w:rsid w:val="00611703"/>
    <w:rsid w:val="00612ACC"/>
    <w:rsid w:val="006C4C03"/>
    <w:rsid w:val="006D7716"/>
    <w:rsid w:val="006F43D7"/>
    <w:rsid w:val="006F5B3A"/>
    <w:rsid w:val="00710B79"/>
    <w:rsid w:val="007644E7"/>
    <w:rsid w:val="0077386C"/>
    <w:rsid w:val="007806C8"/>
    <w:rsid w:val="007A6A1F"/>
    <w:rsid w:val="007B2754"/>
    <w:rsid w:val="007B6CCE"/>
    <w:rsid w:val="007D053C"/>
    <w:rsid w:val="007D631B"/>
    <w:rsid w:val="008423BA"/>
    <w:rsid w:val="008C41CD"/>
    <w:rsid w:val="008D2F02"/>
    <w:rsid w:val="008E6496"/>
    <w:rsid w:val="008F3A17"/>
    <w:rsid w:val="009407C5"/>
    <w:rsid w:val="009472DE"/>
    <w:rsid w:val="009840D5"/>
    <w:rsid w:val="009C566F"/>
    <w:rsid w:val="009D4747"/>
    <w:rsid w:val="009F4E01"/>
    <w:rsid w:val="00A15B05"/>
    <w:rsid w:val="00A55FED"/>
    <w:rsid w:val="00A85860"/>
    <w:rsid w:val="00AA2231"/>
    <w:rsid w:val="00AB1C8F"/>
    <w:rsid w:val="00AC508C"/>
    <w:rsid w:val="00AC6300"/>
    <w:rsid w:val="00AD7A57"/>
    <w:rsid w:val="00AE0F66"/>
    <w:rsid w:val="00AF01F5"/>
    <w:rsid w:val="00B079DE"/>
    <w:rsid w:val="00B12DA8"/>
    <w:rsid w:val="00B51FEE"/>
    <w:rsid w:val="00BB19EB"/>
    <w:rsid w:val="00BC5827"/>
    <w:rsid w:val="00BD2064"/>
    <w:rsid w:val="00BE4D11"/>
    <w:rsid w:val="00BF6A37"/>
    <w:rsid w:val="00C0067E"/>
    <w:rsid w:val="00C27A86"/>
    <w:rsid w:val="00C41671"/>
    <w:rsid w:val="00C55D54"/>
    <w:rsid w:val="00C5627C"/>
    <w:rsid w:val="00CC3D81"/>
    <w:rsid w:val="00CC4E4C"/>
    <w:rsid w:val="00D22A93"/>
    <w:rsid w:val="00D32FC1"/>
    <w:rsid w:val="00D34286"/>
    <w:rsid w:val="00D720EA"/>
    <w:rsid w:val="00DC224E"/>
    <w:rsid w:val="00DF29AA"/>
    <w:rsid w:val="00E03279"/>
    <w:rsid w:val="00E067F2"/>
    <w:rsid w:val="00E4098E"/>
    <w:rsid w:val="00E40C68"/>
    <w:rsid w:val="00E520E5"/>
    <w:rsid w:val="00E5787A"/>
    <w:rsid w:val="00E6398E"/>
    <w:rsid w:val="00E71897"/>
    <w:rsid w:val="00F842B9"/>
    <w:rsid w:val="00F94A0D"/>
    <w:rsid w:val="00FB52F1"/>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AF1A4"/>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61094"/>
    <w:pPr>
      <w:spacing w:before="200"/>
      <w:ind w:left="567"/>
    </w:pPr>
    <w:rPr>
      <w:rFonts w:ascii="Arial" w:hAnsi="Arial" w:cs="Arial"/>
      <w:color w:val="3F3F3F" w:themeColor="text1"/>
    </w:rPr>
  </w:style>
  <w:style w:type="paragraph" w:styleId="Otsikko1">
    <w:name w:val="heading 1"/>
    <w:next w:val="Normaali"/>
    <w:qFormat/>
    <w:rsid w:val="006F5B3A"/>
    <w:pPr>
      <w:keepNext/>
      <w:outlineLvl w:val="0"/>
    </w:pPr>
    <w:rPr>
      <w:rFonts w:ascii="Arial" w:hAnsi="Arial" w:cs="Arial"/>
      <w:b/>
      <w:bCs/>
      <w:color w:val="595965" w:themeColor="text2"/>
      <w:kern w:val="32"/>
      <w:sz w:val="24"/>
      <w:szCs w:val="32"/>
    </w:rPr>
  </w:style>
  <w:style w:type="paragraph" w:styleId="Otsikko2">
    <w:name w:val="heading 2"/>
    <w:next w:val="Normaali"/>
    <w:link w:val="Otsikko2Char"/>
    <w:unhideWhenUsed/>
    <w:qFormat/>
    <w:rsid w:val="00461094"/>
    <w:pPr>
      <w:keepNext/>
      <w:keepLines/>
      <w:spacing w:before="120"/>
      <w:outlineLvl w:val="1"/>
    </w:pPr>
    <w:rPr>
      <w:rFonts w:ascii="Arial" w:eastAsiaTheme="majorEastAsia" w:hAnsi="Arial" w:cs="Arial"/>
      <w:color w:val="595965" w:themeColor="text2"/>
      <w:sz w:val="24"/>
      <w:szCs w:val="26"/>
    </w:rPr>
  </w:style>
  <w:style w:type="paragraph" w:styleId="Otsikko3">
    <w:name w:val="heading 3"/>
    <w:basedOn w:val="Normaali"/>
    <w:next w:val="Normaali"/>
    <w:link w:val="Otsikko3Char"/>
    <w:unhideWhenUsed/>
    <w:qFormat/>
    <w:rsid w:val="00461094"/>
    <w:pPr>
      <w:keepNext/>
      <w:keepLines/>
      <w:spacing w:before="120"/>
      <w:ind w:left="0"/>
      <w:outlineLvl w:val="2"/>
    </w:pPr>
    <w:rPr>
      <w:rFonts w:eastAsiaTheme="majorEastAsia" w:cstheme="majorBidi"/>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semiHidden/>
    <w:qFormat/>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qFormat/>
    <w:rsid w:val="006D7716"/>
    <w:pPr>
      <w:outlineLvl w:val="0"/>
    </w:pPr>
    <w:rPr>
      <w:rFonts w:ascii="Arial" w:hAnsi="Arial" w:cs="Arial"/>
      <w:b/>
      <w:caps/>
      <w:color w:val="595965" w:themeColor="text2"/>
      <w:sz w:val="22"/>
    </w:rPr>
  </w:style>
  <w:style w:type="paragraph" w:customStyle="1" w:styleId="yltunnisteenlisteksti">
    <w:name w:val="ylätunnisteen lisäteksti"/>
    <w:qFormat/>
    <w:rsid w:val="00B51FEE"/>
    <w:pPr>
      <w:jc w:val="right"/>
    </w:pPr>
    <w:rPr>
      <w:rFonts w:ascii="Arial" w:hAnsi="Arial" w:cs="Arial"/>
      <w:color w:val="3F3F3F" w:themeColor="text1"/>
      <w:sz w:val="18"/>
    </w:rPr>
  </w:style>
  <w:style w:type="character" w:customStyle="1" w:styleId="Otsikko2Char">
    <w:name w:val="Otsikko 2 Char"/>
    <w:basedOn w:val="Kappaleenoletusfontti"/>
    <w:link w:val="Otsikko2"/>
    <w:rsid w:val="00461094"/>
    <w:rPr>
      <w:rFonts w:ascii="Arial" w:eastAsiaTheme="majorEastAsia" w:hAnsi="Arial" w:cs="Arial"/>
      <w:color w:val="595965" w:themeColor="text2"/>
      <w:sz w:val="24"/>
      <w:szCs w:val="26"/>
    </w:rPr>
  </w:style>
  <w:style w:type="character" w:customStyle="1" w:styleId="Otsikko3Char">
    <w:name w:val="Otsikko 3 Char"/>
    <w:basedOn w:val="Kappaleenoletusfontti"/>
    <w:link w:val="Otsikko3"/>
    <w:rsid w:val="00461094"/>
    <w:rPr>
      <w:rFonts w:ascii="Arial" w:eastAsiaTheme="majorEastAsia" w:hAnsi="Arial" w:cstheme="majorBidi"/>
      <w:i/>
      <w:color w:val="3F3F3F" w:themeColor="text1"/>
      <w:szCs w:val="24"/>
    </w:rPr>
  </w:style>
  <w:style w:type="paragraph" w:styleId="Luettelokappale">
    <w:name w:val="List Paragraph"/>
    <w:basedOn w:val="Normaali"/>
    <w:uiPriority w:val="34"/>
    <w:qFormat/>
    <w:rsid w:val="00461094"/>
    <w:pPr>
      <w:numPr>
        <w:numId w:val="18"/>
      </w:numPr>
      <w:spacing w:before="120"/>
      <w:ind w:left="1395"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7723">
      <w:bodyDiv w:val="1"/>
      <w:marLeft w:val="0"/>
      <w:marRight w:val="0"/>
      <w:marTop w:val="0"/>
      <w:marBottom w:val="0"/>
      <w:divBdr>
        <w:top w:val="none" w:sz="0" w:space="0" w:color="auto"/>
        <w:left w:val="none" w:sz="0" w:space="0" w:color="auto"/>
        <w:bottom w:val="none" w:sz="0" w:space="0" w:color="auto"/>
        <w:right w:val="none" w:sz="0" w:space="0" w:color="auto"/>
      </w:divBdr>
    </w:div>
    <w:div w:id="448822470">
      <w:bodyDiv w:val="1"/>
      <w:marLeft w:val="0"/>
      <w:marRight w:val="0"/>
      <w:marTop w:val="0"/>
      <w:marBottom w:val="0"/>
      <w:divBdr>
        <w:top w:val="none" w:sz="0" w:space="0" w:color="auto"/>
        <w:left w:val="none" w:sz="0" w:space="0" w:color="auto"/>
        <w:bottom w:val="none" w:sz="0" w:space="0" w:color="auto"/>
        <w:right w:val="none" w:sz="0" w:space="0" w:color="auto"/>
      </w:divBdr>
    </w:div>
    <w:div w:id="579217265">
      <w:bodyDiv w:val="1"/>
      <w:marLeft w:val="0"/>
      <w:marRight w:val="0"/>
      <w:marTop w:val="0"/>
      <w:marBottom w:val="0"/>
      <w:divBdr>
        <w:top w:val="none" w:sz="0" w:space="0" w:color="auto"/>
        <w:left w:val="none" w:sz="0" w:space="0" w:color="auto"/>
        <w:bottom w:val="none" w:sz="0" w:space="0" w:color="auto"/>
        <w:right w:val="none" w:sz="0" w:space="0" w:color="auto"/>
      </w:divBdr>
    </w:div>
    <w:div w:id="582104419">
      <w:bodyDiv w:val="1"/>
      <w:marLeft w:val="0"/>
      <w:marRight w:val="0"/>
      <w:marTop w:val="0"/>
      <w:marBottom w:val="0"/>
      <w:divBdr>
        <w:top w:val="none" w:sz="0" w:space="0" w:color="auto"/>
        <w:left w:val="none" w:sz="0" w:space="0" w:color="auto"/>
        <w:bottom w:val="none" w:sz="0" w:space="0" w:color="auto"/>
        <w:right w:val="none" w:sz="0" w:space="0" w:color="auto"/>
      </w:divBdr>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939945909">
      <w:bodyDiv w:val="1"/>
      <w:marLeft w:val="0"/>
      <w:marRight w:val="0"/>
      <w:marTop w:val="0"/>
      <w:marBottom w:val="0"/>
      <w:divBdr>
        <w:top w:val="none" w:sz="0" w:space="0" w:color="auto"/>
        <w:left w:val="none" w:sz="0" w:space="0" w:color="auto"/>
        <w:bottom w:val="none" w:sz="0" w:space="0" w:color="auto"/>
        <w:right w:val="none" w:sz="0" w:space="0" w:color="auto"/>
      </w:divBdr>
    </w:div>
    <w:div w:id="1602764913">
      <w:bodyDiv w:val="1"/>
      <w:marLeft w:val="0"/>
      <w:marRight w:val="0"/>
      <w:marTop w:val="0"/>
      <w:marBottom w:val="0"/>
      <w:divBdr>
        <w:top w:val="none" w:sz="0" w:space="0" w:color="auto"/>
        <w:left w:val="none" w:sz="0" w:space="0" w:color="auto"/>
        <w:bottom w:val="none" w:sz="0" w:space="0" w:color="auto"/>
        <w:right w:val="none" w:sz="0" w:space="0" w:color="auto"/>
      </w:divBdr>
    </w:div>
    <w:div w:id="1707679034">
      <w:bodyDiv w:val="1"/>
      <w:marLeft w:val="0"/>
      <w:marRight w:val="0"/>
      <w:marTop w:val="0"/>
      <w:marBottom w:val="0"/>
      <w:divBdr>
        <w:top w:val="none" w:sz="0" w:space="0" w:color="auto"/>
        <w:left w:val="none" w:sz="0" w:space="0" w:color="auto"/>
        <w:bottom w:val="none" w:sz="0" w:space="0" w:color="auto"/>
        <w:right w:val="none" w:sz="0" w:space="0" w:color="auto"/>
      </w:divBdr>
    </w:div>
    <w:div w:id="17785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otevärit">
      <a:dk1>
        <a:srgbClr val="3F3F3F"/>
      </a:dk1>
      <a:lt1>
        <a:sysClr val="window" lastClr="FFFFFF"/>
      </a:lt1>
      <a:dk2>
        <a:srgbClr val="595965"/>
      </a:dk2>
      <a:lt2>
        <a:srgbClr val="E7E6E6"/>
      </a:lt2>
      <a:accent1>
        <a:srgbClr val="D90066"/>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DE2DE5545F1AD48B7387D0C97C847EF" ma:contentTypeVersion="" ma:contentTypeDescription="Luo uusi asiakirja." ma:contentTypeScope="" ma:versionID="0a05446c41e639f4c46ed56a07459fe4">
  <xsd:schema xmlns:xsd="http://www.w3.org/2001/XMLSchema" xmlns:xs="http://www.w3.org/2001/XMLSchema" xmlns:p="http://schemas.microsoft.com/office/2006/metadata/properties" xmlns:ns2="ebb82943-49da-4504-a2f3-a33fb2eb95f1" targetNamespace="http://schemas.microsoft.com/office/2006/metadata/properties" ma:root="true" ma:fieldsID="77efe3f6ac270d920b120e90d34bbc0f"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511E-D912-4281-8AD7-72A5F129F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197FC-0D26-4B94-80E6-5A497BE7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D91B3-B515-44CE-BCA3-58798A774215}">
  <ds:schemaRefs>
    <ds:schemaRef ds:uri="http://schemas.microsoft.com/sharepoint/v3/contenttype/forms"/>
  </ds:schemaRefs>
</ds:datastoreItem>
</file>

<file path=customXml/itemProps4.xml><?xml version="1.0" encoding="utf-8"?>
<ds:datastoreItem xmlns:ds="http://schemas.openxmlformats.org/officeDocument/2006/customXml" ds:itemID="{76F14A4F-B1AF-4056-82AA-4E62A654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5572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Finlands system för social trygghet, alternativa texter</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Finlands system för social trygghet, alternativa texter</dc:title>
  <dc:subject/>
  <dc:creator>Osolanus Jani (STM)</dc:creator>
  <cp:keywords/>
  <cp:lastModifiedBy>Driksna Jasmiina (STM)</cp:lastModifiedBy>
  <cp:revision>2</cp:revision>
  <dcterms:created xsi:type="dcterms:W3CDTF">2023-05-22T12:04:00Z</dcterms:created>
  <dcterms:modified xsi:type="dcterms:W3CDTF">2023-05-22T12:04:00Z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0x0101002DE2DE5545F1AD48B7387D0C97C847EF</vt:lpwstr>
  </property>
</Properties>
</file>