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C13B" w14:textId="0C301D72" w:rsidR="009B230C" w:rsidRDefault="002F0AFD" w:rsidP="00446E3A">
      <w:bookmarkStart w:id="0" w:name="_GoBack"/>
      <w:bookmarkEnd w:id="0"/>
      <w:r>
        <w:t xml:space="preserve">Bilaga 1: Checklista för att utreda principen ”ingen betydande skada” för projekt inom programmet för hållbar tillväxt </w:t>
      </w:r>
    </w:p>
    <w:p w14:paraId="7176FC6D" w14:textId="77777777" w:rsidR="00A77CEE" w:rsidRDefault="00A77CEE" w:rsidP="00446E3A"/>
    <w:p w14:paraId="7CBED582" w14:textId="77777777" w:rsidR="00A77CEE" w:rsidRPr="00A77CEE" w:rsidRDefault="00A77CEE" w:rsidP="00446E3A">
      <w:pPr>
        <w:rPr>
          <w:b/>
        </w:rPr>
      </w:pPr>
      <w:r>
        <w:rPr>
          <w:b/>
        </w:rPr>
        <w:t>Del 1</w:t>
      </w:r>
    </w:p>
    <w:p w14:paraId="4011DC6E" w14:textId="77777777" w:rsidR="00703BE7" w:rsidRDefault="00703BE7" w:rsidP="00446E3A"/>
    <w:tbl>
      <w:tblPr>
        <w:tblStyle w:val="Ruudukkotaulukko4-korostus3"/>
        <w:tblW w:w="0" w:type="auto"/>
        <w:tblLook w:val="04A0" w:firstRow="1" w:lastRow="0" w:firstColumn="1" w:lastColumn="0" w:noHBand="0" w:noVBand="1"/>
      </w:tblPr>
      <w:tblGrid>
        <w:gridCol w:w="2760"/>
        <w:gridCol w:w="981"/>
        <w:gridCol w:w="844"/>
        <w:gridCol w:w="5043"/>
      </w:tblGrid>
      <w:tr w:rsidR="00703BE7" w14:paraId="6FACB51C" w14:textId="77777777" w:rsidTr="002F0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084239B6" w14:textId="77777777" w:rsidR="00703BE7" w:rsidRDefault="00703BE7" w:rsidP="00446E3A">
            <w:r>
              <w:t>Grundläggande uppgifter</w:t>
            </w:r>
          </w:p>
        </w:tc>
      </w:tr>
      <w:tr w:rsidR="00703BE7" w14:paraId="132D8615"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ACE3A3" w14:textId="77777777" w:rsidR="00703BE7" w:rsidRDefault="00703BE7" w:rsidP="00446E3A">
            <w:pPr>
              <w:rPr>
                <w:b w:val="0"/>
                <w:bCs w:val="0"/>
              </w:rPr>
            </w:pPr>
            <w:r>
              <w:rPr>
                <w:b w:val="0"/>
                <w:bCs w:val="0"/>
              </w:rPr>
              <w:t>Sökande</w:t>
            </w:r>
          </w:p>
        </w:tc>
        <w:tc>
          <w:tcPr>
            <w:tcW w:w="6976" w:type="dxa"/>
            <w:gridSpan w:val="3"/>
          </w:tcPr>
          <w:p w14:paraId="36A5D6C8"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1131B9E6" w14:textId="77777777" w:rsidTr="00703BE7">
        <w:tc>
          <w:tcPr>
            <w:cnfStyle w:val="001000000000" w:firstRow="0" w:lastRow="0" w:firstColumn="1" w:lastColumn="0" w:oddVBand="0" w:evenVBand="0" w:oddHBand="0" w:evenHBand="0" w:firstRowFirstColumn="0" w:firstRowLastColumn="0" w:lastRowFirstColumn="0" w:lastRowLastColumn="0"/>
            <w:tcW w:w="2802" w:type="dxa"/>
          </w:tcPr>
          <w:p w14:paraId="547D9BC9" w14:textId="77777777" w:rsidR="00703BE7" w:rsidRDefault="00703BE7" w:rsidP="00446E3A">
            <w:pPr>
              <w:rPr>
                <w:b w:val="0"/>
                <w:bCs w:val="0"/>
              </w:rPr>
            </w:pPr>
            <w:r>
              <w:rPr>
                <w:b w:val="0"/>
                <w:bCs w:val="0"/>
              </w:rPr>
              <w:t>Välfärdsområde</w:t>
            </w:r>
          </w:p>
        </w:tc>
        <w:tc>
          <w:tcPr>
            <w:tcW w:w="6976" w:type="dxa"/>
            <w:gridSpan w:val="3"/>
          </w:tcPr>
          <w:p w14:paraId="71CE44C9" w14:textId="77777777" w:rsidR="00703BE7" w:rsidRDefault="00703BE7" w:rsidP="00446E3A">
            <w:pPr>
              <w:cnfStyle w:val="000000000000" w:firstRow="0" w:lastRow="0" w:firstColumn="0" w:lastColumn="0" w:oddVBand="0" w:evenVBand="0" w:oddHBand="0" w:evenHBand="0" w:firstRowFirstColumn="0" w:firstRowLastColumn="0" w:lastRowFirstColumn="0" w:lastRowLastColumn="0"/>
            </w:pPr>
          </w:p>
        </w:tc>
      </w:tr>
      <w:tr w:rsidR="00703BE7" w14:paraId="70AA6911"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BB56F2B" w14:textId="77777777" w:rsidR="00703BE7" w:rsidRDefault="00703BE7" w:rsidP="00446E3A">
            <w:pPr>
              <w:rPr>
                <w:b w:val="0"/>
                <w:bCs w:val="0"/>
              </w:rPr>
            </w:pPr>
            <w:r>
              <w:rPr>
                <w:b w:val="0"/>
                <w:bCs w:val="0"/>
              </w:rPr>
              <w:t>Projekt</w:t>
            </w:r>
          </w:p>
        </w:tc>
        <w:tc>
          <w:tcPr>
            <w:tcW w:w="6976" w:type="dxa"/>
            <w:gridSpan w:val="3"/>
          </w:tcPr>
          <w:p w14:paraId="3A768A74"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58F4DDEA" w14:textId="77777777" w:rsidTr="00703BE7">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548DA4B7" w14:textId="77777777" w:rsidR="00703BE7" w:rsidRPr="00703BE7" w:rsidRDefault="00703BE7" w:rsidP="00446E3A">
            <w:pPr>
              <w:rPr>
                <w:color w:val="FFFFFF" w:themeColor="background1"/>
              </w:rPr>
            </w:pPr>
            <w:r>
              <w:rPr>
                <w:color w:val="FFFFFF" w:themeColor="background1"/>
              </w:rPr>
              <w:t>Rapport om uppfyllande av DNSH-kravet</w:t>
            </w:r>
          </w:p>
        </w:tc>
      </w:tr>
      <w:tr w:rsidR="00703BE7" w14:paraId="5146D66D"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F24741" w14:textId="77777777" w:rsidR="00703BE7" w:rsidRPr="00A77CEE" w:rsidRDefault="002F0AFD" w:rsidP="00446E3A">
            <w:pPr>
              <w:rPr>
                <w:bCs w:val="0"/>
                <w:color w:val="FFFFFF" w:themeColor="background1"/>
              </w:rPr>
            </w:pPr>
            <w:r>
              <w:t>Vilka av miljömålen nedan kräver en detaljerad riskbedömning av åtgärden?</w:t>
            </w:r>
          </w:p>
        </w:tc>
        <w:tc>
          <w:tcPr>
            <w:tcW w:w="992" w:type="dxa"/>
            <w:shd w:val="clear" w:color="auto" w:fill="D6E3BC" w:themeFill="accent3" w:themeFillTint="66"/>
          </w:tcPr>
          <w:p w14:paraId="1DA45C03"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Pr>
                <w:b/>
              </w:rPr>
              <w:t>Ja</w:t>
            </w:r>
          </w:p>
        </w:tc>
        <w:tc>
          <w:tcPr>
            <w:tcW w:w="850" w:type="dxa"/>
            <w:shd w:val="clear" w:color="auto" w:fill="D6E3BC" w:themeFill="accent3" w:themeFillTint="66"/>
          </w:tcPr>
          <w:p w14:paraId="456A98EF"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Pr>
                <w:b/>
              </w:rPr>
              <w:t>Nej</w:t>
            </w:r>
          </w:p>
        </w:tc>
        <w:tc>
          <w:tcPr>
            <w:tcW w:w="5134" w:type="dxa"/>
            <w:shd w:val="clear" w:color="auto" w:fill="D6E3BC" w:themeFill="accent3" w:themeFillTint="66"/>
          </w:tcPr>
          <w:p w14:paraId="2579EB5B"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Pr>
                <w:b/>
              </w:rPr>
              <w:t>Motivering om ”Nej” har valts</w:t>
            </w:r>
          </w:p>
        </w:tc>
      </w:tr>
      <w:tr w:rsidR="002F0AFD" w14:paraId="5C9D5CC3"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59D01AB" w14:textId="77777777" w:rsidR="002F0AFD" w:rsidRPr="002F0AFD" w:rsidRDefault="002F0AFD" w:rsidP="00446E3A">
            <w:pPr>
              <w:rPr>
                <w:b w:val="0"/>
              </w:rPr>
            </w:pPr>
            <w:r>
              <w:rPr>
                <w:b w:val="0"/>
              </w:rPr>
              <w:t>Stävjande av klimatförändringen</w:t>
            </w:r>
          </w:p>
        </w:tc>
        <w:tc>
          <w:tcPr>
            <w:tcW w:w="992" w:type="dxa"/>
            <w:shd w:val="clear" w:color="auto" w:fill="FFFFFF" w:themeFill="background1"/>
          </w:tcPr>
          <w:p w14:paraId="1355D07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2A584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1989F58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425A6CB9"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BFC966F" w14:textId="77777777" w:rsidR="002F0AFD" w:rsidRPr="002F0AFD" w:rsidRDefault="002F0AFD" w:rsidP="00446E3A">
            <w:pPr>
              <w:rPr>
                <w:b w:val="0"/>
              </w:rPr>
            </w:pPr>
            <w:r>
              <w:rPr>
                <w:b w:val="0"/>
              </w:rPr>
              <w:t>Anpassning till klimatförändringen</w:t>
            </w:r>
          </w:p>
        </w:tc>
        <w:tc>
          <w:tcPr>
            <w:tcW w:w="992" w:type="dxa"/>
            <w:shd w:val="clear" w:color="auto" w:fill="D6E3BC" w:themeFill="accent3" w:themeFillTint="66"/>
          </w:tcPr>
          <w:p w14:paraId="4423E1E3"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2F9D98D5"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4BFCF546"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r>
      <w:tr w:rsidR="002F0AFD" w14:paraId="5CC89236"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209DD6F" w14:textId="77777777" w:rsidR="002F0AFD" w:rsidRPr="002F0AFD" w:rsidRDefault="002F0AFD" w:rsidP="00446E3A">
            <w:pPr>
              <w:rPr>
                <w:b w:val="0"/>
              </w:rPr>
            </w:pPr>
            <w:r>
              <w:rPr>
                <w:b w:val="0"/>
              </w:rPr>
              <w:t>Hållbar användning och skydd av vatten och marina resurser</w:t>
            </w:r>
          </w:p>
        </w:tc>
        <w:tc>
          <w:tcPr>
            <w:tcW w:w="992" w:type="dxa"/>
            <w:shd w:val="clear" w:color="auto" w:fill="FFFFFF" w:themeFill="background1"/>
          </w:tcPr>
          <w:p w14:paraId="6F80B833"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3827644E"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5A3FCDD7"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A77CEE" w14:paraId="5A4C88EA"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59E0B0B" w14:textId="77777777" w:rsidR="00A77CEE" w:rsidRPr="002F0AFD" w:rsidRDefault="00A77CEE" w:rsidP="00446E3A">
            <w:pPr>
              <w:rPr>
                <w:b w:val="0"/>
              </w:rPr>
            </w:pPr>
            <w:r>
              <w:rPr>
                <w:b w:val="0"/>
              </w:rPr>
              <w:t>Den cirkulära ekonomin, inbegripet förebyggande och återvinning av avfall</w:t>
            </w:r>
          </w:p>
        </w:tc>
        <w:tc>
          <w:tcPr>
            <w:tcW w:w="992" w:type="dxa"/>
            <w:shd w:val="clear" w:color="auto" w:fill="D6E3BC" w:themeFill="accent3" w:themeFillTint="66"/>
          </w:tcPr>
          <w:p w14:paraId="6B1A6E46"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700565FE"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1A26B723"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r>
      <w:tr w:rsidR="002F0AFD" w14:paraId="626D7A7E"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52D529F" w14:textId="77777777" w:rsidR="002F0AFD" w:rsidRPr="002F0AFD" w:rsidRDefault="002F0AFD" w:rsidP="00446E3A">
            <w:pPr>
              <w:rPr>
                <w:b w:val="0"/>
              </w:rPr>
            </w:pPr>
            <w:r>
              <w:rPr>
                <w:b w:val="0"/>
              </w:rPr>
              <w:t>Förebyggande och begränsning av föroreningar till luft, vatten eller mark</w:t>
            </w:r>
          </w:p>
        </w:tc>
        <w:tc>
          <w:tcPr>
            <w:tcW w:w="992" w:type="dxa"/>
            <w:shd w:val="clear" w:color="auto" w:fill="FFFFFF" w:themeFill="background1"/>
          </w:tcPr>
          <w:p w14:paraId="76C780E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A8909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03BF716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6C19BB83"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D010EF7" w14:textId="77777777" w:rsidR="002F0AFD" w:rsidRPr="002F0AFD" w:rsidRDefault="002F0AFD" w:rsidP="00446E3A">
            <w:pPr>
              <w:rPr>
                <w:b w:val="0"/>
              </w:rPr>
            </w:pPr>
            <w:r>
              <w:rPr>
                <w:b w:val="0"/>
              </w:rPr>
              <w:t>Skydd och återställande av biologisk mångfald och ekosystem</w:t>
            </w:r>
          </w:p>
        </w:tc>
        <w:tc>
          <w:tcPr>
            <w:tcW w:w="992" w:type="dxa"/>
            <w:shd w:val="clear" w:color="auto" w:fill="D6E3BC" w:themeFill="accent3" w:themeFillTint="66"/>
          </w:tcPr>
          <w:p w14:paraId="4CA7CF61"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850" w:type="dxa"/>
            <w:shd w:val="clear" w:color="auto" w:fill="D6E3BC" w:themeFill="accent3" w:themeFillTint="66"/>
          </w:tcPr>
          <w:p w14:paraId="5CCB982D"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5134" w:type="dxa"/>
            <w:shd w:val="clear" w:color="auto" w:fill="D6E3BC" w:themeFill="accent3" w:themeFillTint="66"/>
          </w:tcPr>
          <w:p w14:paraId="0999CB52"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r>
    </w:tbl>
    <w:p w14:paraId="32036F5C" w14:textId="5EC2CE67" w:rsidR="00703BE7" w:rsidRDefault="00703BE7" w:rsidP="00446E3A"/>
    <w:p w14:paraId="48D3E6E6" w14:textId="77777777" w:rsidR="00703BE7" w:rsidRPr="00A77CEE" w:rsidRDefault="002F0AFD" w:rsidP="00446E3A">
      <w:pPr>
        <w:rPr>
          <w:b/>
        </w:rPr>
      </w:pPr>
      <w:r>
        <w:rPr>
          <w:b/>
        </w:rPr>
        <w:t>Del 2</w:t>
      </w:r>
    </w:p>
    <w:p w14:paraId="044DF487" w14:textId="77777777" w:rsidR="002F0AFD" w:rsidRDefault="002F0AFD" w:rsidP="00446E3A">
      <w:r>
        <w:t xml:space="preserve">Projekten ska lägga fram en detaljerad riskbedömning för de miljömål som förutsätter detta. Svara för varje åtgärd på följande frågor i fråga om de miljömål </w:t>
      </w:r>
      <w:r>
        <w:rPr>
          <w:b/>
        </w:rPr>
        <w:t>som i del 1 har ansetts förutsätta en mer detaljerad riskbedömning:</w:t>
      </w:r>
      <w:r>
        <w:t xml:space="preserve"> </w:t>
      </w:r>
    </w:p>
    <w:p w14:paraId="3DAA92E5" w14:textId="77777777" w:rsidR="00A77CEE" w:rsidRDefault="00A77CEE" w:rsidP="00446E3A"/>
    <w:tbl>
      <w:tblPr>
        <w:tblStyle w:val="Ruudukkotaulukko4-korostus3"/>
        <w:tblW w:w="0" w:type="auto"/>
        <w:tblLook w:val="04A0" w:firstRow="1" w:lastRow="0" w:firstColumn="1" w:lastColumn="0" w:noHBand="0" w:noVBand="1"/>
      </w:tblPr>
      <w:tblGrid>
        <w:gridCol w:w="2802"/>
        <w:gridCol w:w="850"/>
        <w:gridCol w:w="5134"/>
      </w:tblGrid>
      <w:tr w:rsidR="00A77CEE" w:rsidRPr="002F0AFD" w14:paraId="45CDA520" w14:textId="77777777" w:rsidTr="009C3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53D22957" w14:textId="77777777" w:rsidR="00A77CEE" w:rsidRPr="00A77CEE" w:rsidRDefault="00A77CEE" w:rsidP="009C3DB7">
            <w:pPr>
              <w:rPr>
                <w:color w:val="auto"/>
              </w:rPr>
            </w:pPr>
            <w:r>
              <w:rPr>
                <w:color w:val="auto"/>
              </w:rPr>
              <w:t>Vilka av miljömålen nedan kräver en detaljerad riskbedömning av åtgärden?</w:t>
            </w:r>
          </w:p>
        </w:tc>
        <w:tc>
          <w:tcPr>
            <w:tcW w:w="850" w:type="dxa"/>
            <w:shd w:val="clear" w:color="auto" w:fill="D6E3BC" w:themeFill="accent3" w:themeFillTint="66"/>
          </w:tcPr>
          <w:p w14:paraId="4088D9C1"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Pr>
                <w:color w:val="auto"/>
              </w:rPr>
              <w:t>Nej</w:t>
            </w:r>
          </w:p>
        </w:tc>
        <w:tc>
          <w:tcPr>
            <w:tcW w:w="5134" w:type="dxa"/>
            <w:shd w:val="clear" w:color="auto" w:fill="D6E3BC" w:themeFill="accent3" w:themeFillTint="66"/>
          </w:tcPr>
          <w:p w14:paraId="5D169136"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Pr>
                <w:color w:val="auto"/>
              </w:rPr>
              <w:t>Detaljerad motivering</w:t>
            </w:r>
          </w:p>
        </w:tc>
      </w:tr>
      <w:tr w:rsidR="00A77CEE" w:rsidRPr="002F0AFD" w14:paraId="27045ECD"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D4494AA" w14:textId="77777777" w:rsidR="00A77CEE" w:rsidRPr="002F0AFD" w:rsidRDefault="00A77CEE" w:rsidP="009C3DB7">
            <w:pPr>
              <w:rPr>
                <w:b w:val="0"/>
              </w:rPr>
            </w:pPr>
            <w:r>
              <w:rPr>
                <w:b w:val="0"/>
              </w:rPr>
              <w:t>Stävjande av klimatförändringen</w:t>
            </w:r>
          </w:p>
        </w:tc>
        <w:tc>
          <w:tcPr>
            <w:tcW w:w="850" w:type="dxa"/>
            <w:shd w:val="clear" w:color="auto" w:fill="FFFFFF" w:themeFill="background1"/>
          </w:tcPr>
          <w:p w14:paraId="4B082801"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2F39E1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1CD38DE7" w14:textId="77777777" w:rsidTr="009C3DB7">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6DB5A9C6" w14:textId="77777777" w:rsidR="00A77CEE" w:rsidRPr="002F0AFD" w:rsidRDefault="00A77CEE" w:rsidP="009C3DB7">
            <w:pPr>
              <w:rPr>
                <w:b w:val="0"/>
              </w:rPr>
            </w:pPr>
            <w:r>
              <w:rPr>
                <w:b w:val="0"/>
              </w:rPr>
              <w:t>Anpassning till klimatförändringen</w:t>
            </w:r>
          </w:p>
        </w:tc>
        <w:tc>
          <w:tcPr>
            <w:tcW w:w="850" w:type="dxa"/>
            <w:shd w:val="clear" w:color="auto" w:fill="D6E3BC" w:themeFill="accent3" w:themeFillTint="66"/>
          </w:tcPr>
          <w:p w14:paraId="6D3EFFD2"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24E914E6"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A7BA821"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AF7A24B" w14:textId="77777777" w:rsidR="00A77CEE" w:rsidRPr="002F0AFD" w:rsidRDefault="00A77CEE" w:rsidP="009C3DB7">
            <w:pPr>
              <w:rPr>
                <w:b w:val="0"/>
              </w:rPr>
            </w:pPr>
            <w:r>
              <w:rPr>
                <w:b w:val="0"/>
              </w:rPr>
              <w:t>Hållbar användning och skydd av vatten och marina resurser</w:t>
            </w:r>
          </w:p>
        </w:tc>
        <w:tc>
          <w:tcPr>
            <w:tcW w:w="850" w:type="dxa"/>
            <w:shd w:val="clear" w:color="auto" w:fill="FFFFFF" w:themeFill="background1"/>
          </w:tcPr>
          <w:p w14:paraId="091A0D1D"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4775BA5F"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7276EA" w:rsidRPr="002F0AFD" w14:paraId="04627025"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EDB6C1" w14:textId="77777777" w:rsidR="007276EA" w:rsidRPr="002F0AFD" w:rsidRDefault="007276EA" w:rsidP="009C3DB7">
            <w:pPr>
              <w:rPr>
                <w:b w:val="0"/>
              </w:rPr>
            </w:pPr>
            <w:r>
              <w:rPr>
                <w:b w:val="0"/>
              </w:rPr>
              <w:lastRenderedPageBreak/>
              <w:t>Den cirkulära ekonomin, inbegripet förebyggande och återvinning av avfall</w:t>
            </w:r>
          </w:p>
        </w:tc>
        <w:tc>
          <w:tcPr>
            <w:tcW w:w="850" w:type="dxa"/>
            <w:shd w:val="clear" w:color="auto" w:fill="D6E3BC" w:themeFill="accent3" w:themeFillTint="66"/>
          </w:tcPr>
          <w:p w14:paraId="6E88EFDD"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666E4C1"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6AFBB01"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F74FF7A" w14:textId="77777777" w:rsidR="00A77CEE" w:rsidRPr="002F0AFD" w:rsidRDefault="00A77CEE" w:rsidP="009C3DB7">
            <w:pPr>
              <w:rPr>
                <w:b w:val="0"/>
              </w:rPr>
            </w:pPr>
            <w:r>
              <w:rPr>
                <w:b w:val="0"/>
              </w:rPr>
              <w:t>Förebyggande och begränsning av föroreningar till luft, vatten eller mark</w:t>
            </w:r>
          </w:p>
        </w:tc>
        <w:tc>
          <w:tcPr>
            <w:tcW w:w="850" w:type="dxa"/>
            <w:shd w:val="clear" w:color="auto" w:fill="FFFFFF" w:themeFill="background1"/>
          </w:tcPr>
          <w:p w14:paraId="5679C27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8260C3A"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594A93B0"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EA5D61B" w14:textId="77777777" w:rsidR="00A77CEE" w:rsidRPr="002F0AFD" w:rsidRDefault="00A77CEE" w:rsidP="009C3DB7">
            <w:pPr>
              <w:rPr>
                <w:b w:val="0"/>
              </w:rPr>
            </w:pPr>
            <w:r>
              <w:rPr>
                <w:b w:val="0"/>
              </w:rPr>
              <w:t>Skydd och återställande av biologisk mångfald och ekosystem</w:t>
            </w:r>
          </w:p>
        </w:tc>
        <w:tc>
          <w:tcPr>
            <w:tcW w:w="850" w:type="dxa"/>
            <w:shd w:val="clear" w:color="auto" w:fill="D6E3BC" w:themeFill="accent3" w:themeFillTint="66"/>
          </w:tcPr>
          <w:p w14:paraId="5B137AE3"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55E2F55"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bl>
    <w:p w14:paraId="12DC54FF" w14:textId="77777777" w:rsidR="00167907" w:rsidRDefault="00167907" w:rsidP="00446E3A">
      <w:pPr>
        <w:sectPr w:rsidR="00167907"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pPr>
    </w:p>
    <w:p w14:paraId="3E10A87B" w14:textId="4EF3F63C" w:rsidR="00167907" w:rsidRPr="00F41AEF" w:rsidRDefault="00167907" w:rsidP="00167907">
      <w:pPr>
        <w:rPr>
          <w:rFonts w:ascii="Arial Narrow" w:hAnsi="Arial Narrow"/>
          <w:b/>
          <w:color w:val="1F497D" w:themeColor="text2"/>
          <w:sz w:val="28"/>
          <w:szCs w:val="28"/>
        </w:rPr>
      </w:pPr>
      <w:r>
        <w:rPr>
          <w:rFonts w:ascii="Arial Narrow" w:hAnsi="Arial Narrow"/>
          <w:b/>
          <w:color w:val="1F497D" w:themeColor="text2"/>
          <w:sz w:val="28"/>
          <w:szCs w:val="28"/>
        </w:rPr>
        <w:lastRenderedPageBreak/>
        <w:t>Mer information om kravet ”Ingen betydande skada”/Do No Significant Harm (DNSH)</w:t>
      </w:r>
    </w:p>
    <w:p w14:paraId="201C4E80" w14:textId="77777777" w:rsidR="00167907" w:rsidRDefault="00167907" w:rsidP="00167907"/>
    <w:p w14:paraId="78FC59D7" w14:textId="39ED0A67" w:rsidR="00167907" w:rsidRPr="00F41AEF" w:rsidRDefault="00167907" w:rsidP="00167907">
      <w:pPr>
        <w:rPr>
          <w:rFonts w:ascii="Arial" w:hAnsi="Arial" w:cs="Arial"/>
          <w:sz w:val="20"/>
        </w:rPr>
      </w:pPr>
      <w:r>
        <w:rPr>
          <w:rFonts w:ascii="Arial" w:hAnsi="Arial"/>
          <w:sz w:val="20"/>
        </w:rPr>
        <w:t>Alla projekt som finansieras ur Finlands program för hållbar tillväxt ska uppfylla de så kallade ”Ingen betydande skada”-kraven. I EU:s återhämtningsfacilitet (Recovery and Resilience Facility, RRF) finns krav på att inga åtgärder får orsaka miljön betydande skada.</w:t>
      </w:r>
    </w:p>
    <w:p w14:paraId="040F890A" w14:textId="77777777" w:rsidR="00167907" w:rsidRPr="00F41AEF" w:rsidRDefault="00167907" w:rsidP="00167907">
      <w:pPr>
        <w:rPr>
          <w:rFonts w:ascii="Arial" w:hAnsi="Arial" w:cs="Arial"/>
          <w:sz w:val="20"/>
        </w:rPr>
      </w:pPr>
    </w:p>
    <w:p w14:paraId="630908E4" w14:textId="77777777" w:rsidR="00167907" w:rsidRPr="00DE3299" w:rsidRDefault="00167907" w:rsidP="00167907">
      <w:pPr>
        <w:rPr>
          <w:rFonts w:ascii="Arial" w:hAnsi="Arial" w:cs="Arial"/>
          <w:b/>
          <w:sz w:val="20"/>
        </w:rPr>
      </w:pPr>
      <w:r>
        <w:rPr>
          <w:rFonts w:ascii="Arial" w:hAnsi="Arial"/>
          <w:b/>
          <w:sz w:val="20"/>
        </w:rPr>
        <w:t>Ekonomisk verksamhet anses orsaka betydande skada för</w:t>
      </w:r>
    </w:p>
    <w:p w14:paraId="6CA6FEDF" w14:textId="77777777" w:rsidR="00167907" w:rsidRPr="00F41AEF" w:rsidRDefault="00167907" w:rsidP="00167907">
      <w:pPr>
        <w:ind w:firstLine="1304"/>
        <w:rPr>
          <w:rFonts w:ascii="Arial" w:hAnsi="Arial" w:cs="Arial"/>
          <w:sz w:val="20"/>
        </w:rPr>
      </w:pPr>
      <w:r>
        <w:rPr>
          <w:rFonts w:ascii="Arial" w:hAnsi="Arial"/>
          <w:sz w:val="20"/>
        </w:rPr>
        <w:t>a) stävjande av klimatförändringen:</w:t>
      </w:r>
    </w:p>
    <w:p w14:paraId="5D8CAE5E" w14:textId="77777777" w:rsidR="00167907" w:rsidRPr="00F41AEF" w:rsidRDefault="00167907" w:rsidP="00167907">
      <w:pPr>
        <w:ind w:firstLine="1304"/>
        <w:rPr>
          <w:rFonts w:ascii="Arial" w:hAnsi="Arial" w:cs="Arial"/>
          <w:sz w:val="20"/>
        </w:rPr>
      </w:pPr>
      <w:r>
        <w:rPr>
          <w:rFonts w:ascii="Arial" w:hAnsi="Arial"/>
          <w:sz w:val="20"/>
        </w:rPr>
        <w:t>– om verksamheten i fråga orsakar betydande växthusgasutsläpp;</w:t>
      </w:r>
    </w:p>
    <w:p w14:paraId="790A21A3" w14:textId="77777777" w:rsidR="00167907" w:rsidRPr="00F41AEF" w:rsidRDefault="00167907" w:rsidP="00167907">
      <w:pPr>
        <w:ind w:firstLine="1304"/>
        <w:rPr>
          <w:rFonts w:ascii="Arial" w:hAnsi="Arial" w:cs="Arial"/>
          <w:sz w:val="20"/>
        </w:rPr>
      </w:pPr>
    </w:p>
    <w:p w14:paraId="14B97416" w14:textId="77777777" w:rsidR="00167907" w:rsidRPr="00F41AEF" w:rsidRDefault="00167907" w:rsidP="00167907">
      <w:pPr>
        <w:ind w:firstLine="1304"/>
        <w:rPr>
          <w:rFonts w:ascii="Arial" w:hAnsi="Arial" w:cs="Arial"/>
          <w:sz w:val="20"/>
        </w:rPr>
      </w:pPr>
      <w:r>
        <w:rPr>
          <w:rFonts w:ascii="Arial" w:hAnsi="Arial"/>
          <w:sz w:val="20"/>
        </w:rPr>
        <w:t>b) anpassning till klimatförändringar,</w:t>
      </w:r>
    </w:p>
    <w:p w14:paraId="29A72BDD" w14:textId="77777777" w:rsidR="00167907" w:rsidRPr="00F41AEF" w:rsidRDefault="00167907" w:rsidP="00167907">
      <w:pPr>
        <w:ind w:left="1304"/>
        <w:rPr>
          <w:rFonts w:ascii="Arial" w:hAnsi="Arial" w:cs="Arial"/>
          <w:sz w:val="20"/>
        </w:rPr>
      </w:pPr>
      <w:r>
        <w:rPr>
          <w:rFonts w:ascii="Arial" w:hAnsi="Arial"/>
          <w:sz w:val="20"/>
        </w:rPr>
        <w:t>– om verksamheten i fråga ökar det nuvarande klimatets och det förestående framtida klimatets skadliga inverkan på verksamheten i fråga eller på människor, natur eller egendom;</w:t>
      </w:r>
    </w:p>
    <w:p w14:paraId="0D4A75C9" w14:textId="77777777" w:rsidR="00167907" w:rsidRPr="00F41AEF" w:rsidRDefault="00167907" w:rsidP="00167907">
      <w:pPr>
        <w:ind w:left="1304"/>
        <w:rPr>
          <w:rFonts w:ascii="Arial" w:hAnsi="Arial" w:cs="Arial"/>
          <w:sz w:val="20"/>
        </w:rPr>
      </w:pPr>
    </w:p>
    <w:p w14:paraId="7C9551D8" w14:textId="77777777" w:rsidR="00167907" w:rsidRPr="00F41AEF" w:rsidRDefault="00167907" w:rsidP="00167907">
      <w:pPr>
        <w:ind w:left="1304"/>
        <w:rPr>
          <w:rFonts w:ascii="Arial" w:hAnsi="Arial" w:cs="Arial"/>
          <w:sz w:val="20"/>
        </w:rPr>
      </w:pPr>
      <w:r>
        <w:rPr>
          <w:rFonts w:ascii="Arial" w:hAnsi="Arial"/>
          <w:sz w:val="20"/>
        </w:rPr>
        <w:t>c) hållbar användning och skydd av vatten och marina resurser, om verksamheten i fråga försämrar</w:t>
      </w:r>
    </w:p>
    <w:p w14:paraId="0771C3A8" w14:textId="77777777" w:rsidR="00167907" w:rsidRPr="00F41AEF" w:rsidRDefault="00167907" w:rsidP="00167907">
      <w:pPr>
        <w:ind w:left="1304"/>
        <w:rPr>
          <w:rFonts w:ascii="Arial" w:hAnsi="Arial" w:cs="Arial"/>
          <w:sz w:val="20"/>
        </w:rPr>
      </w:pPr>
      <w:r>
        <w:rPr>
          <w:rFonts w:ascii="Arial" w:hAnsi="Arial"/>
          <w:sz w:val="20"/>
        </w:rPr>
        <w:t>– vattensamlingars goda tillstånd eller ekologiska potential, inklusive ytvatten och grundvatten; eller</w:t>
      </w:r>
    </w:p>
    <w:p w14:paraId="326BC4FF" w14:textId="77777777" w:rsidR="00167907" w:rsidRPr="00F41AEF" w:rsidRDefault="00167907" w:rsidP="00167907">
      <w:pPr>
        <w:ind w:firstLine="1304"/>
        <w:rPr>
          <w:rFonts w:ascii="Arial" w:hAnsi="Arial" w:cs="Arial"/>
          <w:sz w:val="20"/>
        </w:rPr>
      </w:pPr>
      <w:r>
        <w:rPr>
          <w:rFonts w:ascii="Arial" w:hAnsi="Arial"/>
          <w:sz w:val="20"/>
        </w:rPr>
        <w:t>– god miljöstatus för marina vatten;</w:t>
      </w:r>
    </w:p>
    <w:p w14:paraId="6B71309E" w14:textId="77777777" w:rsidR="00167907" w:rsidRPr="00F41AEF" w:rsidRDefault="00167907" w:rsidP="00167907">
      <w:pPr>
        <w:ind w:firstLine="1304"/>
        <w:rPr>
          <w:rFonts w:ascii="Arial" w:hAnsi="Arial" w:cs="Arial"/>
          <w:sz w:val="20"/>
        </w:rPr>
      </w:pPr>
    </w:p>
    <w:p w14:paraId="70631043" w14:textId="77777777" w:rsidR="00167907" w:rsidRPr="00F41AEF" w:rsidRDefault="00167907" w:rsidP="00167907">
      <w:pPr>
        <w:ind w:firstLine="1304"/>
        <w:rPr>
          <w:rFonts w:ascii="Arial" w:hAnsi="Arial" w:cs="Arial"/>
          <w:sz w:val="20"/>
        </w:rPr>
      </w:pPr>
      <w:r>
        <w:rPr>
          <w:rFonts w:ascii="Arial" w:hAnsi="Arial"/>
          <w:sz w:val="20"/>
        </w:rPr>
        <w:t>D) den cirkulära ekonomin, inbegripet förebyggande och återvinning av avfall, om</w:t>
      </w:r>
    </w:p>
    <w:p w14:paraId="2373C5B7" w14:textId="77777777" w:rsidR="00167907" w:rsidRPr="00F41AEF" w:rsidRDefault="00167907" w:rsidP="00167907">
      <w:pPr>
        <w:ind w:firstLine="1304"/>
        <w:rPr>
          <w:rFonts w:ascii="Arial" w:hAnsi="Arial" w:cs="Arial"/>
          <w:sz w:val="20"/>
        </w:rPr>
      </w:pPr>
      <w:r>
        <w:rPr>
          <w:rFonts w:ascii="Arial" w:hAnsi="Arial"/>
          <w:sz w:val="20"/>
        </w:rPr>
        <w:t>- verksamheten i fråga orsakar avsevärd ineffektivitet i materialanvändningen eller</w:t>
      </w:r>
    </w:p>
    <w:p w14:paraId="2B74BC32" w14:textId="77777777" w:rsidR="00167907" w:rsidRPr="00F41AEF" w:rsidRDefault="00167907" w:rsidP="00167907">
      <w:pPr>
        <w:ind w:left="1304"/>
        <w:rPr>
          <w:rFonts w:ascii="Arial" w:hAnsi="Arial" w:cs="Arial"/>
          <w:sz w:val="20"/>
        </w:rPr>
      </w:pPr>
      <w:r>
        <w:rPr>
          <w:rFonts w:ascii="Arial" w:hAnsi="Arial"/>
          <w:sz w:val="20"/>
        </w:rPr>
        <w:t>verksamheten leder till betydande ineffektivitet vid användningen av material eller vid direkt eller indirekt användning av naturresurser såsom icke förnybara energikällor, råmaterial, vatten och mark i ett eller flera stadier av produkternas livscykel, inklusive vad gäller produkternas hållbarhet, reparerbarhet, uppgraderbarhet, återanvändbarhet eller möjligheten att materialåtervinna dessa,</w:t>
      </w:r>
    </w:p>
    <w:p w14:paraId="3864A547" w14:textId="77777777" w:rsidR="00167907" w:rsidRPr="00F41AEF" w:rsidRDefault="00167907" w:rsidP="00167907">
      <w:pPr>
        <w:ind w:left="1304"/>
        <w:rPr>
          <w:rFonts w:ascii="Arial" w:hAnsi="Arial" w:cs="Arial"/>
          <w:sz w:val="20"/>
        </w:rPr>
      </w:pPr>
      <w:r>
        <w:rPr>
          <w:rFonts w:ascii="Arial" w:hAnsi="Arial"/>
          <w:sz w:val="20"/>
        </w:rPr>
        <w:t>- verksamheten leder till en betydande ökning av generering, förbränning eller bortskaffande av avfall, med undantag för förbränning av farligt avfall som inte kan materialåtervinnas, eller</w:t>
      </w:r>
    </w:p>
    <w:p w14:paraId="082569D7" w14:textId="77777777" w:rsidR="00167907" w:rsidRPr="00F41AEF" w:rsidRDefault="00167907" w:rsidP="00167907">
      <w:pPr>
        <w:ind w:firstLine="1304"/>
        <w:rPr>
          <w:rFonts w:ascii="Arial" w:hAnsi="Arial" w:cs="Arial"/>
          <w:sz w:val="20"/>
        </w:rPr>
      </w:pPr>
      <w:r>
        <w:rPr>
          <w:rFonts w:ascii="Arial" w:hAnsi="Arial"/>
          <w:sz w:val="20"/>
        </w:rPr>
        <w:t>– den långvariga slutförvaringen av avfallet kan orsaka betydande och långvariga olägenheter</w:t>
      </w:r>
    </w:p>
    <w:p w14:paraId="1E5A16CD" w14:textId="77777777" w:rsidR="00167907" w:rsidRPr="00F41AEF" w:rsidRDefault="00167907" w:rsidP="00167907">
      <w:pPr>
        <w:ind w:firstLine="1304"/>
        <w:rPr>
          <w:rFonts w:ascii="Arial" w:hAnsi="Arial" w:cs="Arial"/>
          <w:sz w:val="20"/>
        </w:rPr>
      </w:pPr>
      <w:r>
        <w:rPr>
          <w:rFonts w:ascii="Arial" w:hAnsi="Arial"/>
          <w:sz w:val="20"/>
        </w:rPr>
        <w:t>för miljön;</w:t>
      </w:r>
    </w:p>
    <w:p w14:paraId="01298B12" w14:textId="77777777" w:rsidR="00167907" w:rsidRPr="00F41AEF" w:rsidRDefault="00167907" w:rsidP="00167907">
      <w:pPr>
        <w:ind w:firstLine="1304"/>
        <w:rPr>
          <w:rFonts w:ascii="Arial" w:hAnsi="Arial" w:cs="Arial"/>
          <w:sz w:val="20"/>
        </w:rPr>
      </w:pPr>
    </w:p>
    <w:p w14:paraId="31C8E7CA" w14:textId="77777777" w:rsidR="00167907" w:rsidRPr="00F41AEF" w:rsidRDefault="00167907" w:rsidP="00167907">
      <w:pPr>
        <w:ind w:firstLine="1304"/>
        <w:rPr>
          <w:rFonts w:ascii="Arial" w:hAnsi="Arial" w:cs="Arial"/>
          <w:sz w:val="20"/>
        </w:rPr>
      </w:pPr>
      <w:r>
        <w:rPr>
          <w:rFonts w:ascii="Arial" w:hAnsi="Arial"/>
          <w:sz w:val="20"/>
        </w:rPr>
        <w:t>e) förebyggande och begränsning av miljöföroreningar,</w:t>
      </w:r>
    </w:p>
    <w:p w14:paraId="0370F758" w14:textId="77777777" w:rsidR="00167907" w:rsidRPr="00F41AEF" w:rsidRDefault="00167907" w:rsidP="00167907">
      <w:pPr>
        <w:ind w:left="1304"/>
        <w:rPr>
          <w:rFonts w:ascii="Arial" w:hAnsi="Arial" w:cs="Arial"/>
          <w:sz w:val="20"/>
        </w:rPr>
      </w:pPr>
      <w:r>
        <w:rPr>
          <w:rFonts w:ascii="Arial" w:hAnsi="Arial"/>
          <w:sz w:val="20"/>
        </w:rPr>
        <w:t>– om verksamheten betydligt ökar förorenande utsläpp i luft, vatten eller mark jämfört med situationen innan verksamheten inleddes; eller</w:t>
      </w:r>
    </w:p>
    <w:p w14:paraId="1FCDAA79" w14:textId="77777777" w:rsidR="00167907" w:rsidRPr="00F41AEF" w:rsidRDefault="00167907" w:rsidP="00167907">
      <w:pPr>
        <w:rPr>
          <w:rFonts w:ascii="Arial" w:hAnsi="Arial" w:cs="Arial"/>
          <w:sz w:val="20"/>
        </w:rPr>
      </w:pPr>
    </w:p>
    <w:p w14:paraId="3011A855" w14:textId="77777777" w:rsidR="00167907" w:rsidRPr="00F41AEF" w:rsidRDefault="00167907" w:rsidP="00167907">
      <w:pPr>
        <w:ind w:left="1304"/>
        <w:rPr>
          <w:rFonts w:ascii="Arial" w:hAnsi="Arial" w:cs="Arial"/>
          <w:sz w:val="20"/>
        </w:rPr>
      </w:pPr>
      <w:r>
        <w:rPr>
          <w:rFonts w:ascii="Arial" w:hAnsi="Arial"/>
          <w:sz w:val="20"/>
        </w:rPr>
        <w:t>f) skydd och återställande av biologisk mångfald och ekosystem, om verksamheten</w:t>
      </w:r>
    </w:p>
    <w:p w14:paraId="307381D6" w14:textId="77777777" w:rsidR="00167907" w:rsidRPr="00F41AEF" w:rsidRDefault="00167907" w:rsidP="00167907">
      <w:pPr>
        <w:ind w:firstLine="1304"/>
        <w:rPr>
          <w:rFonts w:ascii="Arial" w:hAnsi="Arial" w:cs="Arial"/>
          <w:sz w:val="20"/>
        </w:rPr>
      </w:pPr>
      <w:r>
        <w:rPr>
          <w:rFonts w:ascii="Arial" w:hAnsi="Arial"/>
          <w:sz w:val="20"/>
        </w:rPr>
        <w:t>– på ett betydande sätt försämrar ekosystemens goda status och motståndskraft; eller</w:t>
      </w:r>
    </w:p>
    <w:p w14:paraId="5A48AC5F" w14:textId="77777777" w:rsidR="00167907" w:rsidRDefault="00167907" w:rsidP="00167907">
      <w:pPr>
        <w:ind w:left="1304"/>
        <w:rPr>
          <w:rFonts w:ascii="Arial" w:hAnsi="Arial" w:cs="Arial"/>
          <w:sz w:val="20"/>
        </w:rPr>
      </w:pPr>
      <w:r>
        <w:rPr>
          <w:rFonts w:ascii="Arial" w:hAnsi="Arial"/>
          <w:sz w:val="20"/>
        </w:rPr>
        <w:t>– försämrar bevarandestatusen för livsmiljöer och arter, inklusive livsmiljöer och arter som är av betydligt intresse för unionen.</w:t>
      </w:r>
    </w:p>
    <w:p w14:paraId="31098E7E" w14:textId="77777777" w:rsidR="00167907" w:rsidRDefault="00167907" w:rsidP="00167907">
      <w:pPr>
        <w:ind w:left="1304"/>
        <w:rPr>
          <w:rFonts w:ascii="Arial" w:hAnsi="Arial" w:cs="Arial"/>
          <w:sz w:val="20"/>
        </w:rPr>
      </w:pPr>
    </w:p>
    <w:p w14:paraId="56AC4EFD" w14:textId="77777777" w:rsidR="00167907" w:rsidRPr="00DE3299" w:rsidRDefault="00167907" w:rsidP="00167907">
      <w:pPr>
        <w:rPr>
          <w:rFonts w:ascii="Arial" w:hAnsi="Arial" w:cs="Arial"/>
          <w:b/>
          <w:sz w:val="20"/>
        </w:rPr>
      </w:pPr>
      <w:r>
        <w:rPr>
          <w:rFonts w:ascii="Arial" w:hAnsi="Arial"/>
          <w:b/>
          <w:sz w:val="20"/>
        </w:rPr>
        <w:t>Dessutom gäller för alla RRF-ansökningar en gemensamt definierad exklusionslista i anknytning till de tekniska anvisningarna ”ingen betydande skada” (2021/C58/01), utifrån vilken förbjudna åtgärder är:</w:t>
      </w:r>
    </w:p>
    <w:p w14:paraId="2B5F2A3C" w14:textId="77777777" w:rsidR="00167907" w:rsidRDefault="00167907" w:rsidP="00167907">
      <w:pPr>
        <w:rPr>
          <w:b/>
          <w:bCs/>
          <w:sz w:val="20"/>
        </w:rPr>
      </w:pPr>
    </w:p>
    <w:p w14:paraId="7CE40FF7" w14:textId="77777777" w:rsidR="00167907" w:rsidRPr="00DE3299" w:rsidRDefault="00167907" w:rsidP="00167907">
      <w:pPr>
        <w:pStyle w:val="Luettelokappale"/>
        <w:numPr>
          <w:ilvl w:val="0"/>
          <w:numId w:val="9"/>
        </w:numPr>
        <w:rPr>
          <w:rFonts w:ascii="Arial" w:hAnsi="Arial" w:cs="Arial"/>
          <w:sz w:val="20"/>
        </w:rPr>
      </w:pPr>
      <w:r>
        <w:rPr>
          <w:rFonts w:ascii="Arial" w:hAnsi="Arial"/>
          <w:sz w:val="20"/>
        </w:rPr>
        <w:t xml:space="preserve">Verksamhet som hänför sig till fossila bränslen, inklusive förädling och fortsatt användning </w:t>
      </w:r>
    </w:p>
    <w:p w14:paraId="54458492" w14:textId="77777777" w:rsidR="00167907" w:rsidRPr="00DE3299" w:rsidRDefault="00167907" w:rsidP="00167907">
      <w:pPr>
        <w:pStyle w:val="Luettelokappale"/>
        <w:numPr>
          <w:ilvl w:val="0"/>
          <w:numId w:val="10"/>
        </w:numPr>
        <w:rPr>
          <w:rFonts w:ascii="Arial" w:hAnsi="Arial" w:cs="Arial"/>
          <w:sz w:val="20"/>
        </w:rPr>
      </w:pPr>
      <w:r>
        <w:rPr>
          <w:rFonts w:ascii="Arial" w:hAnsi="Arial"/>
          <w:sz w:val="20"/>
        </w:rPr>
        <w:t>Bortsett från de projekt enligt denna åtgärd som använder naturgas och som gäller el- och/eller värmeproduktion samt tillhörande överförings- och distributionsinfrastruktur som uppfyller villkoren i bilaga III i den tekniska vägledningen för principen om att inte orsaka betydande skada (2021/C58/01).</w:t>
      </w:r>
    </w:p>
    <w:p w14:paraId="09FBA90A" w14:textId="77777777" w:rsidR="00167907" w:rsidRDefault="00167907" w:rsidP="00167907">
      <w:pPr>
        <w:ind w:left="1304"/>
        <w:rPr>
          <w:rFonts w:ascii="Arial" w:hAnsi="Arial" w:cs="Arial"/>
          <w:sz w:val="20"/>
        </w:rPr>
      </w:pPr>
    </w:p>
    <w:p w14:paraId="16908980" w14:textId="77777777" w:rsidR="00167907" w:rsidRDefault="00167907" w:rsidP="00167907">
      <w:pPr>
        <w:pStyle w:val="Luettelokappale"/>
        <w:numPr>
          <w:ilvl w:val="0"/>
          <w:numId w:val="9"/>
        </w:numPr>
        <w:rPr>
          <w:rFonts w:ascii="Arial" w:hAnsi="Arial" w:cs="Arial"/>
          <w:sz w:val="20"/>
        </w:rPr>
      </w:pPr>
      <w:r>
        <w:rPr>
          <w:rFonts w:ascii="Arial" w:hAnsi="Arial"/>
          <w:sz w:val="20"/>
        </w:rPr>
        <w:t>Verksamhet som omfattas av EU:s system för handel med utsläppsrätter är verksamhet som leder till att de uppskattade utsläppen av växthusgaser inte understiger det riktmärke som tillämpas</w:t>
      </w:r>
    </w:p>
    <w:p w14:paraId="41F7B510" w14:textId="77777777" w:rsidR="00167907" w:rsidRPr="00DE3299" w:rsidRDefault="00167907" w:rsidP="00167907">
      <w:pPr>
        <w:pStyle w:val="Luettelokappale"/>
        <w:numPr>
          <w:ilvl w:val="0"/>
          <w:numId w:val="10"/>
        </w:numPr>
        <w:rPr>
          <w:rFonts w:ascii="Arial" w:hAnsi="Arial" w:cs="Arial"/>
          <w:sz w:val="20"/>
        </w:rPr>
      </w:pPr>
      <w:r>
        <w:rPr>
          <w:rFonts w:ascii="Arial" w:hAnsi="Arial"/>
          <w:sz w:val="20"/>
        </w:rPr>
        <w:t>Om den verksamhet som stöds uppnår de uppskattade utsläppen av växthusgaser och dessa utsläpp inte i betydande grad understiger riktmärkena ska det lämnas en redogörelse för varför</w:t>
      </w:r>
      <w:r>
        <w:rPr>
          <w:rFonts w:ascii="Arial" w:hAnsi="Arial"/>
          <w:sz w:val="20"/>
        </w:rPr>
        <w:cr/>
      </w:r>
      <w:r>
        <w:rPr>
          <w:rFonts w:ascii="Arial" w:hAnsi="Arial"/>
          <w:sz w:val="20"/>
        </w:rPr>
        <w:br/>
      </w:r>
      <w:r>
        <w:rPr>
          <w:rFonts w:ascii="Arial" w:hAnsi="Arial"/>
          <w:sz w:val="20"/>
        </w:rPr>
        <w:lastRenderedPageBreak/>
        <w:t>detta inte är möjligt De riktmärken som bekräftats för utsläppsrätter som delas ut avgiftsfritt till verksamheter som ingår i tillämpningsområdet för systemet för handel med utsläppsrätter enligt kommissionens genomförandeförordning (EU) 2021/447.</w:t>
      </w:r>
    </w:p>
    <w:p w14:paraId="56E9FE2E" w14:textId="4C29BE66" w:rsidR="00167907" w:rsidRDefault="00167907" w:rsidP="00167907">
      <w:pPr>
        <w:rPr>
          <w:sz w:val="20"/>
        </w:rPr>
      </w:pPr>
    </w:p>
    <w:p w14:paraId="787A363A" w14:textId="77777777" w:rsidR="000A27FE" w:rsidRDefault="000A27FE" w:rsidP="00167907">
      <w:pPr>
        <w:rPr>
          <w:sz w:val="20"/>
        </w:rPr>
      </w:pPr>
    </w:p>
    <w:p w14:paraId="69C8FC9B" w14:textId="77777777" w:rsidR="00167907" w:rsidRPr="00DE3299" w:rsidRDefault="00167907" w:rsidP="00167907">
      <w:pPr>
        <w:pStyle w:val="Luettelokappale"/>
        <w:numPr>
          <w:ilvl w:val="0"/>
          <w:numId w:val="9"/>
        </w:numPr>
        <w:rPr>
          <w:rFonts w:ascii="Arial" w:hAnsi="Arial" w:cs="Arial"/>
          <w:sz w:val="20"/>
        </w:rPr>
      </w:pPr>
      <w:r>
        <w:rPr>
          <w:rFonts w:ascii="Arial" w:hAnsi="Arial"/>
          <w:sz w:val="20"/>
        </w:rPr>
        <w:t>Verksamhet med anknytning till avstjälpningsplatser, förbränningsanläggningar och mekaniska/biologiska behandlingsanläggningar</w:t>
      </w:r>
    </w:p>
    <w:p w14:paraId="5E8FB49A" w14:textId="77777777" w:rsidR="00167907" w:rsidRPr="00DE3299" w:rsidRDefault="00167907" w:rsidP="00167907">
      <w:pPr>
        <w:pStyle w:val="Luettelokappale"/>
        <w:numPr>
          <w:ilvl w:val="0"/>
          <w:numId w:val="10"/>
        </w:numPr>
        <w:rPr>
          <w:rFonts w:ascii="Arial" w:hAnsi="Arial" w:cs="Arial"/>
          <w:sz w:val="20"/>
        </w:rPr>
      </w:pPr>
      <w:r>
        <w:rPr>
          <w:rFonts w:ascii="Arial" w:hAnsi="Arial"/>
          <w:sz w:val="20"/>
        </w:rPr>
        <w:t>Detta undantag gäller inte åtgärder inom ramen för denna åtgärd i anläggningar som uteslutande är avsedda för behandling av farligt avfall som inte kan återvinnas, eller befintliga anläggningar, om åtgärderna inom ramen för denna</w:t>
      </w:r>
      <w:r>
        <w:rPr>
          <w:rFonts w:ascii="Arial" w:hAnsi="Arial"/>
          <w:sz w:val="20"/>
        </w:rPr>
        <w:cr/>
      </w:r>
      <w:r>
        <w:rPr>
          <w:rFonts w:ascii="Arial" w:hAnsi="Arial"/>
          <w:sz w:val="20"/>
        </w:rPr>
        <w:br/>
        <w:t>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p w14:paraId="4A10602C" w14:textId="77777777" w:rsidR="00167907" w:rsidRPr="00DE3299" w:rsidRDefault="00167907" w:rsidP="00167907">
      <w:pPr>
        <w:pStyle w:val="Luettelokappale"/>
        <w:numPr>
          <w:ilvl w:val="0"/>
          <w:numId w:val="10"/>
        </w:numPr>
        <w:rPr>
          <w:rFonts w:ascii="Arial" w:hAnsi="Arial" w:cs="Arial"/>
          <w:sz w:val="20"/>
        </w:rPr>
      </w:pPr>
      <w:r>
        <w:rPr>
          <w:sz w:val="20"/>
        </w:rPr>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w:t>
      </w:r>
      <w:r>
        <w:rPr>
          <w:sz w:val="20"/>
        </w:rPr>
        <w:cr/>
      </w:r>
      <w:r>
        <w:rPr>
          <w:sz w:val="20"/>
        </w:rPr>
        <w:br/>
        <w:t>anläggningarnas livstid, för vilka bevis lämnas på anläggningsnivå.</w:t>
      </w:r>
    </w:p>
    <w:p w14:paraId="714644DC" w14:textId="77777777" w:rsidR="00167907" w:rsidRPr="00DE3299" w:rsidRDefault="00167907" w:rsidP="00167907">
      <w:pPr>
        <w:pStyle w:val="Luettelokappale"/>
        <w:ind w:left="2024"/>
        <w:rPr>
          <w:rFonts w:ascii="Arial" w:hAnsi="Arial" w:cs="Arial"/>
          <w:sz w:val="20"/>
        </w:rPr>
      </w:pPr>
    </w:p>
    <w:p w14:paraId="2FCC93B3" w14:textId="77777777" w:rsidR="00167907" w:rsidRDefault="00167907" w:rsidP="00167907">
      <w:pPr>
        <w:pStyle w:val="Luettelokappale"/>
        <w:numPr>
          <w:ilvl w:val="0"/>
          <w:numId w:val="9"/>
        </w:numPr>
        <w:rPr>
          <w:sz w:val="20"/>
          <w:szCs w:val="20"/>
        </w:rPr>
      </w:pPr>
      <w:r>
        <w:rPr>
          <w:rFonts w:ascii="Arial" w:hAnsi="Arial"/>
          <w:sz w:val="20"/>
        </w:rPr>
        <w:t>Åtgärder där långvarig slutförvaring av avfall kan orsaka olägenheter för miljön.</w:t>
      </w:r>
    </w:p>
    <w:p w14:paraId="564B0388" w14:textId="77777777" w:rsidR="00167907" w:rsidRDefault="00167907" w:rsidP="00167907">
      <w:pPr>
        <w:rPr>
          <w:sz w:val="20"/>
        </w:rPr>
      </w:pPr>
    </w:p>
    <w:p w14:paraId="16D35984" w14:textId="77777777" w:rsidR="00167907" w:rsidRPr="00DE3299" w:rsidRDefault="00167907" w:rsidP="00167907">
      <w:pPr>
        <w:rPr>
          <w:rFonts w:ascii="Arial" w:hAnsi="Arial" w:cs="Arial"/>
          <w:b/>
          <w:sz w:val="20"/>
        </w:rPr>
      </w:pPr>
      <w:r>
        <w:rPr>
          <w:rFonts w:ascii="Arial" w:hAnsi="Arial"/>
          <w:b/>
          <w:sz w:val="20"/>
        </w:rPr>
        <w:t>I utlysningen för programmet för hållbar utveckling beaktas endast ansökningar som iakttar EU:s och Finlands relevanta miljöskyddslag.</w:t>
      </w:r>
    </w:p>
    <w:p w14:paraId="2627C2BC" w14:textId="3DF3FEBB" w:rsidR="00167907" w:rsidRPr="00F41AEF" w:rsidRDefault="00167907" w:rsidP="00167907">
      <w:pPr>
        <w:rPr>
          <w:rFonts w:ascii="Arial" w:hAnsi="Arial" w:cs="Arial"/>
          <w:sz w:val="20"/>
        </w:rPr>
      </w:pPr>
    </w:p>
    <w:p w14:paraId="5E66727F" w14:textId="77777777" w:rsidR="00167907" w:rsidRPr="00F41AEF" w:rsidRDefault="00167907" w:rsidP="00167907">
      <w:pPr>
        <w:rPr>
          <w:rFonts w:ascii="Arial" w:hAnsi="Arial" w:cs="Arial"/>
          <w:sz w:val="20"/>
        </w:rPr>
      </w:pPr>
      <w:r>
        <w:rPr>
          <w:rFonts w:ascii="Arial" w:hAnsi="Arial"/>
          <w:sz w:val="20"/>
        </w:rPr>
        <w:t>Anvisningar för att svara på DNSH-frågor och exempel finns i dokumentet:</w:t>
      </w:r>
    </w:p>
    <w:p w14:paraId="1B4367ED" w14:textId="3B2B72C4" w:rsidR="00167907" w:rsidRPr="00F41AEF" w:rsidRDefault="00AC4F18" w:rsidP="00167907">
      <w:pPr>
        <w:rPr>
          <w:rFonts w:ascii="Arial" w:hAnsi="Arial" w:cs="Arial"/>
          <w:sz w:val="20"/>
        </w:rPr>
      </w:pPr>
      <w:hyperlink r:id="rId13" w:history="1">
        <w:r w:rsidR="008F2E03">
          <w:rPr>
            <w:rStyle w:val="Hyperlinkki"/>
            <w:rFonts w:ascii="Arial" w:hAnsi="Arial"/>
            <w:sz w:val="20"/>
          </w:rPr>
          <w:t>https://eur-lex.europa.eu/legal-content/sv/TXT/PDF/?uri=CELEX:52021XC0218(01)&amp;from=EN</w:t>
        </w:r>
      </w:hyperlink>
      <w:r w:rsidR="008F2E03">
        <w:rPr>
          <w:rFonts w:ascii="Arial" w:hAnsi="Arial"/>
          <w:sz w:val="20"/>
        </w:rPr>
        <w:t xml:space="preserve"> </w:t>
      </w:r>
    </w:p>
    <w:p w14:paraId="03F6B742" w14:textId="77777777" w:rsidR="00167907" w:rsidRPr="00F41AEF" w:rsidRDefault="00167907" w:rsidP="00167907">
      <w:pPr>
        <w:rPr>
          <w:rFonts w:ascii="Arial" w:hAnsi="Arial" w:cs="Arial"/>
          <w:sz w:val="20"/>
        </w:rPr>
      </w:pPr>
    </w:p>
    <w:p w14:paraId="1D10AF8A" w14:textId="0CDEAE5C" w:rsidR="00A77CEE" w:rsidRPr="00167907" w:rsidRDefault="00167907" w:rsidP="00446E3A">
      <w:pPr>
        <w:rPr>
          <w:rFonts w:ascii="Arial" w:hAnsi="Arial" w:cs="Arial"/>
          <w:sz w:val="20"/>
        </w:rPr>
      </w:pPr>
      <w:r>
        <w:t>Man kan bekanta sig med de övergripande DNSH-förhandsutvärderingar som genomfördes under beredningen av Finlands program för hållbar tillväxt i dokumentets (</w:t>
      </w:r>
      <w:hyperlink r:id="rId14" w:history="1">
        <w:r>
          <w:rPr>
            <w:rStyle w:val="Hyperlinkki"/>
            <w:rFonts w:ascii="Arial" w:hAnsi="Arial"/>
            <w:sz w:val="20"/>
          </w:rPr>
          <w:t>https://julkaisut.valtioneuvosto.fi/handle/10024/163176</w:t>
        </w:r>
      </w:hyperlink>
      <w:r>
        <w:t>) bilaga 3.</w:t>
      </w:r>
    </w:p>
    <w:sectPr w:rsidR="00A77CEE" w:rsidRPr="00167907" w:rsidSect="00562E6B">
      <w:headerReference w:type="default" r:id="rId15"/>
      <w:footerReference w:type="default" r:id="rId16"/>
      <w:headerReference w:type="first" r:id="rId17"/>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5A98" w14:textId="77777777" w:rsidR="004E0527" w:rsidRDefault="004E0527" w:rsidP="008E0F4A">
      <w:r>
        <w:separator/>
      </w:r>
    </w:p>
  </w:endnote>
  <w:endnote w:type="continuationSeparator" w:id="0">
    <w:p w14:paraId="018BE419" w14:textId="77777777" w:rsidR="004E0527" w:rsidRDefault="004E052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A492" w14:textId="77777777" w:rsidR="00FA6ACE" w:rsidRDefault="00FA6ACE" w:rsidP="00FA6ACE">
    <w:pPr>
      <w:pStyle w:val="Alatunniste"/>
      <w:ind w:right="2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B72A"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376F" w14:textId="77777777" w:rsidR="004E0527" w:rsidRDefault="004E0527" w:rsidP="008E0F4A">
      <w:r>
        <w:separator/>
      </w:r>
    </w:p>
  </w:footnote>
  <w:footnote w:type="continuationSeparator" w:id="0">
    <w:p w14:paraId="19AF869A" w14:textId="77777777" w:rsidR="004E0527" w:rsidRDefault="004E052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44FDE4B" w14:textId="70BE8733" w:rsidR="008E0F4A" w:rsidRDefault="00BE0ED7" w:rsidP="00562E6B">
        <w:pPr>
          <w:ind w:right="-143" w:firstLine="8789"/>
          <w:jc w:val="center"/>
        </w:pPr>
        <w:r>
          <w:fldChar w:fldCharType="begin"/>
        </w:r>
        <w:r>
          <w:instrText xml:space="preserve"> PAGE   \* MERGEFORMAT </w:instrText>
        </w:r>
        <w:r>
          <w:fldChar w:fldCharType="separate"/>
        </w:r>
        <w:r w:rsidR="00AC4F18">
          <w:rPr>
            <w:noProof/>
          </w:rPr>
          <w:t>2</w:t>
        </w:r>
        <w:r>
          <w:fldChar w:fldCharType="end"/>
        </w:r>
        <w:r>
          <w:t>(</w:t>
        </w:r>
        <w:r w:rsidR="00AC4F18">
          <w:fldChar w:fldCharType="begin"/>
        </w:r>
        <w:r w:rsidR="00AC4F18">
          <w:instrText xml:space="preserve"> NUMPAGES   \* MERGEFORMAT </w:instrText>
        </w:r>
        <w:r w:rsidR="00AC4F18">
          <w:fldChar w:fldCharType="separate"/>
        </w:r>
        <w:r w:rsidR="00AC4F18">
          <w:rPr>
            <w:noProof/>
          </w:rPr>
          <w:t>4</w:t>
        </w:r>
        <w:r w:rsidR="00AC4F18">
          <w:rPr>
            <w:noProof/>
          </w:rPr>
          <w:fldChar w:fldCharType="end"/>
        </w:r>
        <w:r>
          <w:t>)</w:t>
        </w:r>
      </w:p>
      <w:p w14:paraId="470FC600" w14:textId="77777777" w:rsidR="008E0F4A" w:rsidRDefault="008E0F4A" w:rsidP="00562E6B">
        <w:pPr>
          <w:tabs>
            <w:tab w:val="left" w:pos="5245"/>
          </w:tabs>
        </w:pPr>
        <w:r>
          <w:tab/>
        </w:r>
      </w:p>
      <w:p w14:paraId="432BD746" w14:textId="77777777" w:rsidR="00FA6ACE" w:rsidRDefault="00FA6ACE" w:rsidP="00562E6B"/>
      <w:p w14:paraId="03EE7A24" w14:textId="77777777" w:rsidR="008E0F4A" w:rsidRDefault="00AC4F18"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1177184" w14:textId="56815BB3" w:rsidR="00FA6ACE" w:rsidRDefault="00F44CBA" w:rsidP="00562E6B">
        <w:pPr>
          <w:ind w:right="-143" w:firstLine="8789"/>
          <w:jc w:val="right"/>
        </w:pPr>
        <w:r>
          <w:rPr>
            <w:noProof/>
            <w:lang w:val="fi-FI" w:eastAsia="fi-FI"/>
          </w:rPr>
          <w:drawing>
            <wp:anchor distT="0" distB="0" distL="114300" distR="114300" simplePos="0" relativeHeight="251658240" behindDoc="1" locked="0" layoutInCell="1" allowOverlap="1" wp14:anchorId="038F2AC2" wp14:editId="1B03FD9D">
              <wp:simplePos x="0" y="0"/>
              <wp:positionH relativeFrom="margin">
                <wp:posOffset>-297180</wp:posOffset>
              </wp:positionH>
              <wp:positionV relativeFrom="paragraph">
                <wp:posOffset>-92075</wp:posOffset>
              </wp:positionV>
              <wp:extent cx="1630680" cy="429260"/>
              <wp:effectExtent l="0" t="0" r="0" b="8890"/>
              <wp:wrapTight wrapText="bothSides">
                <wp:wrapPolygon edited="0">
                  <wp:start x="0" y="0"/>
                  <wp:lineTo x="0" y="21089"/>
                  <wp:lineTo x="7065" y="21089"/>
                  <wp:lineTo x="7065" y="17254"/>
                  <wp:lineTo x="20692" y="13420"/>
                  <wp:lineTo x="20692" y="6710"/>
                  <wp:lineTo x="7065"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630680" cy="429260"/>
                      </a:xfrm>
                      <a:prstGeom prst="rect">
                        <a:avLst/>
                      </a:prstGeom>
                    </pic:spPr>
                  </pic:pic>
                </a:graphicData>
              </a:graphic>
              <wp14:sizeRelH relativeFrom="margin">
                <wp14:pctWidth>0</wp14:pctWidth>
              </wp14:sizeRelH>
              <wp14:sizeRelV relativeFrom="margin">
                <wp14:pctHeight>0</wp14:pctHeight>
              </wp14:sizeRelV>
            </wp:anchor>
          </w:drawing>
        </w:r>
        <w:r w:rsidR="00BE0ED7">
          <w:fldChar w:fldCharType="begin"/>
        </w:r>
        <w:r w:rsidR="00BE0ED7">
          <w:instrText xml:space="preserve"> PAGE   \* MERGEFORMAT </w:instrText>
        </w:r>
        <w:r w:rsidR="00BE0ED7">
          <w:fldChar w:fldCharType="separate"/>
        </w:r>
        <w:r w:rsidR="00AC4F18">
          <w:rPr>
            <w:noProof/>
          </w:rPr>
          <w:t>1</w:t>
        </w:r>
        <w:r w:rsidR="00BE0ED7">
          <w:fldChar w:fldCharType="end"/>
        </w:r>
        <w:r>
          <w:t>(</w:t>
        </w:r>
        <w:r w:rsidR="00AC4F18">
          <w:fldChar w:fldCharType="begin"/>
        </w:r>
        <w:r w:rsidR="00AC4F18">
          <w:instrText xml:space="preserve"> NUMPAGES   \* MERGEFORMAT </w:instrText>
        </w:r>
        <w:r w:rsidR="00AC4F18">
          <w:fldChar w:fldCharType="separate"/>
        </w:r>
        <w:r w:rsidR="00AC4F18">
          <w:rPr>
            <w:noProof/>
          </w:rPr>
          <w:t>4</w:t>
        </w:r>
        <w:r w:rsidR="00AC4F18">
          <w:rPr>
            <w:noProof/>
          </w:rPr>
          <w:fldChar w:fldCharType="end"/>
        </w:r>
        <w:r>
          <w:t>)</w:t>
        </w:r>
      </w:p>
      <w:p w14:paraId="5B6AAFFD" w14:textId="13E1B44B" w:rsidR="00FA6ACE" w:rsidRDefault="00AC4F18" w:rsidP="00CB4C78">
        <w:pPr>
          <w:ind w:left="5245"/>
        </w:pPr>
      </w:p>
    </w:sdtContent>
  </w:sdt>
  <w:p w14:paraId="247F4783" w14:textId="7EFC67CD" w:rsidR="00CB4C78" w:rsidRDefault="00CB4C78" w:rsidP="00CB4C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837473"/>
      <w:docPartObj>
        <w:docPartGallery w:val="Page Numbers (Top of Page)"/>
        <w:docPartUnique/>
      </w:docPartObj>
    </w:sdtPr>
    <w:sdtEndPr/>
    <w:sdtContent>
      <w:p w14:paraId="3FBE833B" w14:textId="05EF9D5C" w:rsidR="008E0F4A" w:rsidRDefault="004E0527" w:rsidP="00562E6B">
        <w:pPr>
          <w:ind w:right="-143" w:firstLine="8789"/>
          <w:jc w:val="center"/>
        </w:pPr>
        <w:r>
          <w:fldChar w:fldCharType="begin"/>
        </w:r>
        <w:r>
          <w:instrText xml:space="preserve"> PAGE   \* MERGEFORMAT </w:instrText>
        </w:r>
        <w:r>
          <w:fldChar w:fldCharType="separate"/>
        </w:r>
        <w:r w:rsidR="00AC4F18">
          <w:rPr>
            <w:noProof/>
          </w:rPr>
          <w:t>4</w:t>
        </w:r>
        <w:r>
          <w:fldChar w:fldCharType="end"/>
        </w:r>
        <w:r>
          <w:t>(</w:t>
        </w:r>
        <w:fldSimple w:instr=" NUMPAGES   \* MERGEFORMAT ">
          <w:r w:rsidR="00AC4F18">
            <w:rPr>
              <w:noProof/>
            </w:rPr>
            <w:t>4</w:t>
          </w:r>
        </w:fldSimple>
        <w:r>
          <w:t>)</w:t>
        </w:r>
      </w:p>
      <w:p w14:paraId="0ABD4F3F" w14:textId="77777777" w:rsidR="008E0F4A" w:rsidRDefault="008E0F4A" w:rsidP="00562E6B">
        <w:pPr>
          <w:tabs>
            <w:tab w:val="left" w:pos="5245"/>
          </w:tabs>
        </w:pPr>
        <w:r>
          <w:tab/>
        </w:r>
      </w:p>
      <w:p w14:paraId="1B95CB14" w14:textId="77777777" w:rsidR="00FA6ACE" w:rsidRDefault="00FA6ACE" w:rsidP="00562E6B"/>
      <w:p w14:paraId="5C9C71AA" w14:textId="77777777" w:rsidR="008E0F4A" w:rsidRDefault="00AC4F18" w:rsidP="00562E6B"/>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83901"/>
      <w:docPartObj>
        <w:docPartGallery w:val="Page Numbers (Top of Page)"/>
        <w:docPartUnique/>
      </w:docPartObj>
    </w:sdtPr>
    <w:sdtEndPr/>
    <w:sdtContent>
      <w:p w14:paraId="0DEFC573" w14:textId="70648EC1" w:rsidR="00FA6ACE" w:rsidRDefault="004E0527" w:rsidP="00562E6B">
        <w:pPr>
          <w:ind w:right="-143" w:firstLine="8789"/>
          <w:jc w:val="right"/>
        </w:pPr>
        <w:r>
          <w:rPr>
            <w:noProof/>
            <w:lang w:val="fi-FI" w:eastAsia="fi-FI"/>
          </w:rPr>
          <w:drawing>
            <wp:anchor distT="0" distB="0" distL="114300" distR="114300" simplePos="0" relativeHeight="251660288" behindDoc="1" locked="0" layoutInCell="1" allowOverlap="1" wp14:anchorId="5F88B38D" wp14:editId="1A5D103A">
              <wp:simplePos x="0" y="0"/>
              <wp:positionH relativeFrom="column">
                <wp:posOffset>-384810</wp:posOffset>
              </wp:positionH>
              <wp:positionV relativeFrom="paragraph">
                <wp:posOffset>-99060</wp:posOffset>
              </wp:positionV>
              <wp:extent cx="1706880" cy="449478"/>
              <wp:effectExtent l="0" t="0" r="0" b="0"/>
              <wp:wrapTight wrapText="bothSides">
                <wp:wrapPolygon edited="0">
                  <wp:start x="0" y="917"/>
                  <wp:lineTo x="0" y="20164"/>
                  <wp:lineTo x="6991" y="20164"/>
                  <wp:lineTo x="6991" y="17414"/>
                  <wp:lineTo x="20491" y="13748"/>
                  <wp:lineTo x="20491" y="6416"/>
                  <wp:lineTo x="6991" y="917"/>
                  <wp:lineTo x="0" y="917"/>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449478"/>
                      </a:xfrm>
                      <a:prstGeom prst="rect">
                        <a:avLst/>
                      </a:prstGeom>
                    </pic:spPr>
                  </pic:pic>
                </a:graphicData>
              </a:graphic>
            </wp:anchor>
          </w:drawing>
        </w:r>
        <w:r>
          <w:fldChar w:fldCharType="begin"/>
        </w:r>
        <w:r>
          <w:instrText xml:space="preserve"> PAGE   \* MERGEFORMAT </w:instrText>
        </w:r>
        <w:r>
          <w:fldChar w:fldCharType="separate"/>
        </w:r>
        <w:r w:rsidR="00AC4F18">
          <w:rPr>
            <w:noProof/>
          </w:rPr>
          <w:t>3</w:t>
        </w:r>
        <w:r>
          <w:fldChar w:fldCharType="end"/>
        </w:r>
        <w:r>
          <w:t>(</w:t>
        </w:r>
        <w:fldSimple w:instr=" NUMPAGES   \* MERGEFORMAT ">
          <w:r w:rsidR="00AC4F18">
            <w:rPr>
              <w:noProof/>
            </w:rPr>
            <w:t>4</w:t>
          </w:r>
        </w:fldSimple>
        <w:r>
          <w:t>)</w:t>
        </w:r>
      </w:p>
      <w:p w14:paraId="42768700" w14:textId="77777777" w:rsidR="00FA6ACE" w:rsidRDefault="00AC4F18" w:rsidP="00CB4C78">
        <w:pPr>
          <w:ind w:left="5245"/>
        </w:pPr>
      </w:p>
    </w:sdtContent>
  </w:sdt>
  <w:p w14:paraId="5825DAA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C5F0BCB"/>
    <w:multiLevelType w:val="hybridMultilevel"/>
    <w:tmpl w:val="5A40AC2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57232408"/>
    <w:multiLevelType w:val="hybridMultilevel"/>
    <w:tmpl w:val="9482BC2E"/>
    <w:lvl w:ilvl="0" w:tplc="453EE7D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3"/>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E7"/>
    <w:rsid w:val="00016E55"/>
    <w:rsid w:val="00020721"/>
    <w:rsid w:val="0003182E"/>
    <w:rsid w:val="00053D44"/>
    <w:rsid w:val="00063ECB"/>
    <w:rsid w:val="00075991"/>
    <w:rsid w:val="000A27FE"/>
    <w:rsid w:val="000B3024"/>
    <w:rsid w:val="000C272A"/>
    <w:rsid w:val="000D3235"/>
    <w:rsid w:val="001431B7"/>
    <w:rsid w:val="00144D34"/>
    <w:rsid w:val="00147111"/>
    <w:rsid w:val="00155F3B"/>
    <w:rsid w:val="00167907"/>
    <w:rsid w:val="001776E9"/>
    <w:rsid w:val="001B078B"/>
    <w:rsid w:val="001B4EFE"/>
    <w:rsid w:val="001E5F86"/>
    <w:rsid w:val="001F70AF"/>
    <w:rsid w:val="00210152"/>
    <w:rsid w:val="002373F4"/>
    <w:rsid w:val="00271D32"/>
    <w:rsid w:val="00292DED"/>
    <w:rsid w:val="002979F5"/>
    <w:rsid w:val="002A13C4"/>
    <w:rsid w:val="002D31CC"/>
    <w:rsid w:val="002D72CF"/>
    <w:rsid w:val="002F0AFD"/>
    <w:rsid w:val="00307C47"/>
    <w:rsid w:val="003268C9"/>
    <w:rsid w:val="00346B03"/>
    <w:rsid w:val="00367C90"/>
    <w:rsid w:val="00393411"/>
    <w:rsid w:val="003A2869"/>
    <w:rsid w:val="00446E3A"/>
    <w:rsid w:val="0047233E"/>
    <w:rsid w:val="00486BE8"/>
    <w:rsid w:val="004A196F"/>
    <w:rsid w:val="004C5212"/>
    <w:rsid w:val="004C6B33"/>
    <w:rsid w:val="004E0527"/>
    <w:rsid w:val="005146D4"/>
    <w:rsid w:val="0051596E"/>
    <w:rsid w:val="005512A4"/>
    <w:rsid w:val="00562E6B"/>
    <w:rsid w:val="005834E9"/>
    <w:rsid w:val="0059671F"/>
    <w:rsid w:val="006131C2"/>
    <w:rsid w:val="006A4A91"/>
    <w:rsid w:val="006D40F8"/>
    <w:rsid w:val="006D6C2D"/>
    <w:rsid w:val="00703BE7"/>
    <w:rsid w:val="00722420"/>
    <w:rsid w:val="007276EA"/>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8F2E03"/>
    <w:rsid w:val="00906E49"/>
    <w:rsid w:val="009B230C"/>
    <w:rsid w:val="009B6311"/>
    <w:rsid w:val="009D222E"/>
    <w:rsid w:val="00A135F7"/>
    <w:rsid w:val="00A24604"/>
    <w:rsid w:val="00A612FC"/>
    <w:rsid w:val="00A64BD2"/>
    <w:rsid w:val="00A75231"/>
    <w:rsid w:val="00A77CEE"/>
    <w:rsid w:val="00A90735"/>
    <w:rsid w:val="00AA5350"/>
    <w:rsid w:val="00AC4F18"/>
    <w:rsid w:val="00AF2EBD"/>
    <w:rsid w:val="00AF3346"/>
    <w:rsid w:val="00B42986"/>
    <w:rsid w:val="00B6051A"/>
    <w:rsid w:val="00BE0ED7"/>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EC00C9"/>
    <w:rsid w:val="00F44CBA"/>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99C051"/>
  <w15:chartTrackingRefBased/>
  <w15:docId w15:val="{E917DB8D-A10A-49D0-B04D-24116274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table" w:styleId="TaulukkoRuudukko">
    <w:name w:val="Table Grid"/>
    <w:basedOn w:val="Normaalitaulukko"/>
    <w:uiPriority w:val="59"/>
    <w:rsid w:val="0070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703B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4-korostus3">
    <w:name w:val="Grid Table 4 Accent 3"/>
    <w:basedOn w:val="Normaalitaulukko"/>
    <w:uiPriority w:val="49"/>
    <w:rsid w:val="00703B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ki">
    <w:name w:val="Hyperlink"/>
    <w:basedOn w:val="Kappaleenoletusfontti"/>
    <w:uiPriority w:val="99"/>
    <w:unhideWhenUsed/>
    <w:rsid w:val="00167907"/>
    <w:rPr>
      <w:color w:val="0000FF" w:themeColor="hyperlink"/>
      <w:u w:val="single"/>
    </w:rPr>
  </w:style>
  <w:style w:type="paragraph" w:styleId="Luettelokappale">
    <w:name w:val="List Paragraph"/>
    <w:basedOn w:val="Normaali"/>
    <w:uiPriority w:val="34"/>
    <w:qFormat/>
    <w:rsid w:val="0016790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sv/TXT/PDF/?uri=CELEX:52021XC0218(01)&amp;fro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lkaisut.valtioneuvosto.fi/handle/10024/1631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0597F-19CC-4B5A-83DA-0621D3C1B8B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F156CF8-28E2-4C6C-97A6-62DD92358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49CBB-AEB4-43F2-86DE-2BEF271AF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6189</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Parikka Heli (STM)</dc:creator>
  <cp:keywords/>
  <dc:description/>
  <cp:lastModifiedBy>Hämäläinen Sanna (STM)</cp:lastModifiedBy>
  <cp:revision>2</cp:revision>
  <dcterms:created xsi:type="dcterms:W3CDTF">2024-08-30T12:04:00Z</dcterms:created>
  <dcterms:modified xsi:type="dcterms:W3CDTF">2024-08-30T12:04:00Z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0x010100ED642AAF1044164D9F4B288332665EEE</vt:lpwstr>
  </property>
</Properties>
</file>