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0E" w:rsidRPr="009E77E8" w:rsidRDefault="00062F0E" w:rsidP="00F942CC">
      <w:pPr>
        <w:autoSpaceDE w:val="0"/>
        <w:autoSpaceDN w:val="0"/>
        <w:adjustRightInd w:val="0"/>
        <w:spacing w:after="0" w:line="240" w:lineRule="auto"/>
        <w:rPr>
          <w:rFonts w:ascii="Arial" w:hAnsi="Arial" w:cs="Arial"/>
          <w:sz w:val="24"/>
          <w:szCs w:val="34"/>
          <w:lang w:val="fi-FI"/>
        </w:rPr>
      </w:pPr>
      <w:r w:rsidRPr="009E77E8">
        <w:rPr>
          <w:rFonts w:ascii="Arial" w:hAnsi="Arial" w:cs="Arial"/>
          <w:sz w:val="24"/>
          <w:szCs w:val="34"/>
          <w:lang w:val="fi-FI"/>
        </w:rPr>
        <w:t>EUROOPAN UNIONIN PERUSOIKEUSKIRJA</w:t>
      </w:r>
      <w:r w:rsidR="00F942CC" w:rsidRPr="009E77E8">
        <w:rPr>
          <w:rFonts w:ascii="Arial" w:hAnsi="Arial" w:cs="Arial"/>
          <w:sz w:val="24"/>
          <w:szCs w:val="34"/>
          <w:lang w:val="fi-FI"/>
        </w:rPr>
        <w:t xml:space="preserve"> (2000/C 364/01)</w:t>
      </w:r>
    </w:p>
    <w:tbl>
      <w:tblPr>
        <w:tblStyle w:val="TaulukkoRuudukko"/>
        <w:tblW w:w="4884" w:type="pct"/>
        <w:tblCellMar>
          <w:left w:w="0" w:type="dxa"/>
          <w:right w:w="0" w:type="dxa"/>
        </w:tblCellMar>
        <w:tblLook w:val="04A0" w:firstRow="1" w:lastRow="0" w:firstColumn="1" w:lastColumn="0" w:noHBand="0" w:noVBand="1"/>
      </w:tblPr>
      <w:tblGrid>
        <w:gridCol w:w="606"/>
        <w:gridCol w:w="757"/>
        <w:gridCol w:w="7291"/>
        <w:gridCol w:w="5422"/>
      </w:tblGrid>
      <w:tr w:rsidR="00C92A04" w:rsidRPr="00C92A04" w:rsidTr="00C92A04">
        <w:trPr>
          <w:tblHeader/>
        </w:trPr>
        <w:tc>
          <w:tcPr>
            <w:tcW w:w="215" w:type="pct"/>
            <w:shd w:val="clear" w:color="auto" w:fill="D9D9D9" w:themeFill="background1" w:themeFillShade="D9"/>
            <w:vAlign w:val="center"/>
          </w:tcPr>
          <w:p w:rsidR="00911002" w:rsidRPr="00C92A04" w:rsidRDefault="00707652" w:rsidP="00F942CC">
            <w:pPr>
              <w:jc w:val="center"/>
              <w:rPr>
                <w:rFonts w:cs="Arial"/>
                <w:b/>
                <w:sz w:val="20"/>
                <w:szCs w:val="20"/>
                <w:lang w:val="fi-FI"/>
              </w:rPr>
            </w:pPr>
            <w:r w:rsidRPr="00C92A04">
              <w:rPr>
                <w:rFonts w:cs="Arial"/>
                <w:b/>
                <w:sz w:val="20"/>
                <w:szCs w:val="20"/>
                <w:lang w:val="fi-FI"/>
              </w:rPr>
              <w:t>Luku</w:t>
            </w:r>
          </w:p>
        </w:tc>
        <w:tc>
          <w:tcPr>
            <w:tcW w:w="269" w:type="pct"/>
            <w:shd w:val="clear" w:color="auto" w:fill="D9D9D9" w:themeFill="background1" w:themeFillShade="D9"/>
            <w:vAlign w:val="center"/>
          </w:tcPr>
          <w:p w:rsidR="00911002" w:rsidRPr="00C92A04" w:rsidRDefault="00C92A04" w:rsidP="00F942CC">
            <w:pPr>
              <w:jc w:val="center"/>
              <w:rPr>
                <w:rFonts w:cs="Arial"/>
                <w:b/>
                <w:sz w:val="20"/>
                <w:szCs w:val="20"/>
                <w:lang w:val="fi-FI"/>
              </w:rPr>
            </w:pPr>
            <w:r w:rsidRPr="00C92A04">
              <w:rPr>
                <w:rFonts w:cs="Arial"/>
                <w:b/>
                <w:sz w:val="20"/>
                <w:szCs w:val="20"/>
                <w:lang w:val="fi-FI"/>
              </w:rPr>
              <w:t>Art.</w:t>
            </w:r>
          </w:p>
        </w:tc>
        <w:tc>
          <w:tcPr>
            <w:tcW w:w="2590" w:type="pct"/>
            <w:shd w:val="clear" w:color="auto" w:fill="D9D9D9" w:themeFill="background1" w:themeFillShade="D9"/>
          </w:tcPr>
          <w:p w:rsidR="00911002" w:rsidRPr="00C92A04" w:rsidRDefault="00911002" w:rsidP="00F942CC">
            <w:pPr>
              <w:keepNext/>
              <w:keepLines/>
              <w:rPr>
                <w:rFonts w:cs="Arial"/>
                <w:b/>
                <w:sz w:val="20"/>
                <w:szCs w:val="20"/>
                <w:lang w:val="fi-FI"/>
              </w:rPr>
            </w:pPr>
            <w:r w:rsidRPr="00C92A04">
              <w:rPr>
                <w:rFonts w:cs="Arial"/>
                <w:b/>
                <w:sz w:val="20"/>
                <w:szCs w:val="20"/>
                <w:lang w:val="fi-FI"/>
              </w:rPr>
              <w:t>Selite</w:t>
            </w:r>
          </w:p>
        </w:tc>
        <w:tc>
          <w:tcPr>
            <w:tcW w:w="1926" w:type="pct"/>
            <w:shd w:val="clear" w:color="auto" w:fill="D9D9D9" w:themeFill="background1" w:themeFillShade="D9"/>
          </w:tcPr>
          <w:p w:rsidR="00911002" w:rsidRPr="00C92A04" w:rsidRDefault="009E77E8" w:rsidP="00C92A04">
            <w:pPr>
              <w:jc w:val="center"/>
              <w:rPr>
                <w:rFonts w:cs="Arial"/>
                <w:b/>
                <w:sz w:val="20"/>
                <w:szCs w:val="20"/>
                <w:lang w:val="fi-FI"/>
              </w:rPr>
            </w:pPr>
            <w:r w:rsidRPr="00C92A04">
              <w:rPr>
                <w:rFonts w:cs="Arial"/>
                <w:b/>
                <w:sz w:val="20"/>
                <w:szCs w:val="20"/>
                <w:lang w:val="fi-FI"/>
              </w:rPr>
              <w:t>Riskitapahtuman kuvaus</w:t>
            </w:r>
          </w:p>
        </w:tc>
      </w:tr>
      <w:tr w:rsidR="00F942CC" w:rsidRPr="00C92A04" w:rsidTr="00C92A04">
        <w:tc>
          <w:tcPr>
            <w:tcW w:w="215" w:type="pct"/>
            <w:vMerge w:val="restart"/>
            <w:textDirection w:val="btLr"/>
            <w:vAlign w:val="center"/>
          </w:tcPr>
          <w:p w:rsidR="00911002" w:rsidRPr="00C92A04" w:rsidRDefault="00707652" w:rsidP="00F942CC">
            <w:pPr>
              <w:ind w:left="113" w:right="113"/>
              <w:jc w:val="center"/>
              <w:rPr>
                <w:rFonts w:cs="Arial"/>
                <w:sz w:val="20"/>
                <w:szCs w:val="20"/>
                <w:lang w:val="fi-FI"/>
              </w:rPr>
            </w:pPr>
            <w:r w:rsidRPr="00C92A04">
              <w:rPr>
                <w:rFonts w:cs="Arial"/>
                <w:sz w:val="20"/>
                <w:szCs w:val="20"/>
                <w:lang w:val="fi-FI"/>
              </w:rPr>
              <w:t xml:space="preserve">I </w:t>
            </w:r>
            <w:r w:rsidR="00911002" w:rsidRPr="00C92A04">
              <w:rPr>
                <w:rFonts w:cs="Arial"/>
                <w:sz w:val="20"/>
                <w:szCs w:val="20"/>
                <w:lang w:val="fi-FI"/>
              </w:rPr>
              <w:t>IHMISARVO</w:t>
            </w: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Ihmisarvo</w:t>
            </w:r>
          </w:p>
          <w:p w:rsidR="00911002" w:rsidRPr="00C92A04" w:rsidRDefault="00911002" w:rsidP="00F942CC">
            <w:pPr>
              <w:keepNext/>
              <w:keepLines/>
              <w:rPr>
                <w:rFonts w:cs="Arial"/>
                <w:sz w:val="20"/>
                <w:szCs w:val="20"/>
                <w:lang w:val="fi-FI"/>
              </w:rPr>
            </w:pPr>
            <w:r w:rsidRPr="00C92A04">
              <w:rPr>
                <w:rFonts w:cs="Arial"/>
                <w:sz w:val="20"/>
                <w:szCs w:val="20"/>
                <w:lang w:val="fi-FI"/>
              </w:rPr>
              <w:t>Ihmisarvo on loukkaamaton. Sitä on kunnioitettava ja suojeltava.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Oikeus elämään</w:t>
            </w:r>
          </w:p>
          <w:p w:rsidR="00911002" w:rsidRPr="00C92A04" w:rsidRDefault="00911002" w:rsidP="00F942CC">
            <w:pPr>
              <w:keepNext/>
              <w:keepLines/>
              <w:rPr>
                <w:rFonts w:cs="Arial"/>
                <w:sz w:val="20"/>
                <w:szCs w:val="20"/>
                <w:lang w:val="fi-FI"/>
              </w:rPr>
            </w:pPr>
            <w:r w:rsidRPr="00C92A04">
              <w:rPr>
                <w:rFonts w:cs="Arial"/>
                <w:sz w:val="20"/>
                <w:szCs w:val="20"/>
                <w:lang w:val="fi-FI"/>
              </w:rPr>
              <w:t>1. Jokaisella on oikeus elämään.</w:t>
            </w:r>
          </w:p>
          <w:p w:rsidR="00911002" w:rsidRPr="00C92A04" w:rsidRDefault="00911002" w:rsidP="00F942CC">
            <w:pPr>
              <w:keepNext/>
              <w:keepLines/>
              <w:rPr>
                <w:rFonts w:cs="Arial"/>
                <w:sz w:val="20"/>
                <w:szCs w:val="20"/>
                <w:lang w:val="fi-FI"/>
              </w:rPr>
            </w:pPr>
            <w:r w:rsidRPr="00C92A04">
              <w:rPr>
                <w:rFonts w:cs="Arial"/>
                <w:sz w:val="20"/>
                <w:szCs w:val="20"/>
                <w:lang w:val="fi-FI"/>
              </w:rPr>
              <w:t>2. Ketään ei saa tuomita kuolemaan eikä teloittaa.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Oikeus henkilökohtaiseen koskemattomuuteen</w:t>
            </w:r>
          </w:p>
          <w:p w:rsidR="00911002" w:rsidRPr="00C92A04" w:rsidRDefault="00911002" w:rsidP="00F942CC">
            <w:pPr>
              <w:keepNext/>
              <w:keepLines/>
              <w:rPr>
                <w:rFonts w:cs="Arial"/>
                <w:sz w:val="20"/>
                <w:szCs w:val="20"/>
                <w:lang w:val="fi-FI"/>
              </w:rPr>
            </w:pPr>
            <w:r w:rsidRPr="00C92A04">
              <w:rPr>
                <w:rFonts w:cs="Arial"/>
                <w:sz w:val="20"/>
                <w:szCs w:val="20"/>
                <w:lang w:val="fi-FI"/>
              </w:rPr>
              <w:t>1. Jokaisella on oikeus ruumiilliseen ja henkiseen koskemattomuuteen.</w:t>
            </w:r>
          </w:p>
          <w:p w:rsidR="00911002" w:rsidRPr="00C92A04" w:rsidRDefault="00911002" w:rsidP="00F942CC">
            <w:pPr>
              <w:keepNext/>
              <w:keepLines/>
              <w:rPr>
                <w:rFonts w:cs="Arial"/>
                <w:sz w:val="20"/>
                <w:szCs w:val="20"/>
                <w:lang w:val="fi-FI"/>
              </w:rPr>
            </w:pPr>
            <w:r w:rsidRPr="00C92A04">
              <w:rPr>
                <w:rFonts w:cs="Arial"/>
                <w:sz w:val="20"/>
                <w:szCs w:val="20"/>
                <w:lang w:val="fi-FI"/>
              </w:rPr>
              <w:t>2. Lääketieteen ja biologian alalla on noudatettava erityisesti seuraavia vaatimuksia ja kieltoja:</w:t>
            </w:r>
          </w:p>
          <w:p w:rsidR="00911002" w:rsidRPr="00C92A04" w:rsidRDefault="00911002" w:rsidP="00F942CC">
            <w:pPr>
              <w:pStyle w:val="Luettelokappale"/>
              <w:keepNext/>
              <w:keepLines/>
              <w:numPr>
                <w:ilvl w:val="0"/>
                <w:numId w:val="1"/>
              </w:numPr>
              <w:rPr>
                <w:rFonts w:cs="Arial"/>
                <w:sz w:val="20"/>
                <w:szCs w:val="20"/>
                <w:lang w:val="fi-FI"/>
              </w:rPr>
            </w:pPr>
            <w:r w:rsidRPr="00C92A04">
              <w:rPr>
                <w:rFonts w:cs="Arial"/>
                <w:sz w:val="20"/>
                <w:szCs w:val="20"/>
                <w:lang w:val="fi-FI"/>
              </w:rPr>
              <w:t>asianomaisen henkilön vapaaehtoinen ja asiaan vaikuttavista seikoista tietoisena annettu suostumus, joka on hankittu laissa säädettyjä menettelytapoja noudattaen,</w:t>
            </w:r>
          </w:p>
          <w:p w:rsidR="00911002" w:rsidRPr="00C92A04" w:rsidRDefault="00911002" w:rsidP="00F942CC">
            <w:pPr>
              <w:pStyle w:val="Luettelokappale"/>
              <w:keepNext/>
              <w:keepLines/>
              <w:numPr>
                <w:ilvl w:val="0"/>
                <w:numId w:val="1"/>
              </w:numPr>
              <w:rPr>
                <w:rFonts w:cs="Arial"/>
                <w:sz w:val="20"/>
                <w:szCs w:val="20"/>
                <w:lang w:val="fi-FI"/>
              </w:rPr>
            </w:pPr>
            <w:r w:rsidRPr="00C92A04">
              <w:rPr>
                <w:rFonts w:cs="Arial"/>
                <w:sz w:val="20"/>
                <w:szCs w:val="20"/>
                <w:lang w:val="fi-FI"/>
              </w:rPr>
              <w:t>ihmisten geneettiseen jalostamiseen tähtäävien käytäntöjen kielto, erityisesti sellaisten, joiden tavoitteena on ihmisten valikointi,</w:t>
            </w:r>
          </w:p>
          <w:p w:rsidR="00911002" w:rsidRPr="00C92A04" w:rsidRDefault="00911002" w:rsidP="00F942CC">
            <w:pPr>
              <w:pStyle w:val="Luettelokappale"/>
              <w:keepNext/>
              <w:keepLines/>
              <w:numPr>
                <w:ilvl w:val="0"/>
                <w:numId w:val="1"/>
              </w:numPr>
              <w:rPr>
                <w:rFonts w:cs="Arial"/>
                <w:sz w:val="20"/>
                <w:szCs w:val="20"/>
                <w:lang w:val="fi-FI"/>
              </w:rPr>
            </w:pPr>
            <w:r w:rsidRPr="00C92A04">
              <w:rPr>
                <w:rFonts w:cs="Arial"/>
                <w:sz w:val="20"/>
                <w:szCs w:val="20"/>
                <w:lang w:val="fi-FI"/>
              </w:rPr>
              <w:t>kielto hankkia taloudellista hyötyä ihmisruumiista ja sen osista sellaisinaan,</w:t>
            </w:r>
          </w:p>
          <w:p w:rsidR="00911002" w:rsidRPr="00C92A04" w:rsidRDefault="00911002" w:rsidP="00F942CC">
            <w:pPr>
              <w:pStyle w:val="Luettelokappale"/>
              <w:keepNext/>
              <w:keepLines/>
              <w:numPr>
                <w:ilvl w:val="0"/>
                <w:numId w:val="1"/>
              </w:numPr>
              <w:rPr>
                <w:rFonts w:cs="Arial"/>
                <w:sz w:val="20"/>
                <w:szCs w:val="20"/>
                <w:lang w:val="fi-FI"/>
              </w:rPr>
            </w:pPr>
            <w:r w:rsidRPr="00C92A04">
              <w:rPr>
                <w:rFonts w:cs="Arial"/>
                <w:sz w:val="20"/>
                <w:szCs w:val="20"/>
                <w:lang w:val="fi-FI"/>
              </w:rPr>
              <w:t>ihmisten jäljentämistarkoituksessa tapahtuvan kloonauksen kielto.</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4</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Kidutuksen sekä epäinhimillisen tai halventavan rangaistuksen ja kohtelun kielto</w:t>
            </w:r>
          </w:p>
          <w:p w:rsidR="00911002" w:rsidRPr="00C92A04" w:rsidRDefault="00911002" w:rsidP="00F942CC">
            <w:pPr>
              <w:keepNext/>
              <w:keepLines/>
              <w:rPr>
                <w:rFonts w:cs="Arial"/>
                <w:sz w:val="20"/>
                <w:szCs w:val="20"/>
                <w:lang w:val="fi-FI"/>
              </w:rPr>
            </w:pPr>
            <w:r w:rsidRPr="00C92A04">
              <w:rPr>
                <w:rFonts w:cs="Arial"/>
                <w:sz w:val="20"/>
                <w:szCs w:val="20"/>
                <w:lang w:val="fi-FI"/>
              </w:rPr>
              <w:t>Ketään ei saa kiduttaa eikä kohdella tai rangaista epäinhimillisellä tai halventavalla tavalla.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5</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Orjuuden ja pakkotyön kielto</w:t>
            </w:r>
          </w:p>
          <w:p w:rsidR="00911002" w:rsidRPr="00C92A04" w:rsidRDefault="00911002" w:rsidP="00F942CC">
            <w:pPr>
              <w:keepNext/>
              <w:keepLines/>
              <w:rPr>
                <w:rFonts w:cs="Arial"/>
                <w:sz w:val="20"/>
                <w:szCs w:val="20"/>
                <w:lang w:val="fi-FI"/>
              </w:rPr>
            </w:pPr>
            <w:r w:rsidRPr="00C92A04">
              <w:rPr>
                <w:rFonts w:cs="Arial"/>
                <w:sz w:val="20"/>
                <w:szCs w:val="20"/>
                <w:lang w:val="fi-FI"/>
              </w:rPr>
              <w:t>1. Ketään ei saa pitää orjana tai maaorjana.</w:t>
            </w:r>
          </w:p>
          <w:p w:rsidR="00911002" w:rsidRPr="00C92A04" w:rsidRDefault="00911002" w:rsidP="00F942CC">
            <w:pPr>
              <w:keepNext/>
              <w:keepLines/>
              <w:rPr>
                <w:rFonts w:cs="Arial"/>
                <w:sz w:val="20"/>
                <w:szCs w:val="20"/>
                <w:lang w:val="fi-FI"/>
              </w:rPr>
            </w:pPr>
            <w:r w:rsidRPr="00C92A04">
              <w:rPr>
                <w:rFonts w:cs="Arial"/>
                <w:sz w:val="20"/>
                <w:szCs w:val="20"/>
                <w:lang w:val="fi-FI"/>
              </w:rPr>
              <w:t>2. Ketään ei saa vaatia tekemään pakkotyötä tai muuta pakollista työtä.</w:t>
            </w:r>
          </w:p>
          <w:p w:rsidR="00911002" w:rsidRPr="00C92A04" w:rsidRDefault="00911002" w:rsidP="00F942CC">
            <w:pPr>
              <w:keepNext/>
              <w:keepLines/>
              <w:rPr>
                <w:rFonts w:cs="Arial"/>
                <w:sz w:val="20"/>
                <w:szCs w:val="20"/>
                <w:lang w:val="fi-FI"/>
              </w:rPr>
            </w:pPr>
            <w:r w:rsidRPr="00C92A04">
              <w:rPr>
                <w:rFonts w:cs="Arial"/>
                <w:sz w:val="20"/>
                <w:szCs w:val="20"/>
                <w:lang w:val="fi-FI"/>
              </w:rPr>
              <w:t>3. Ihmiskauppa kielletään.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restart"/>
            <w:textDirection w:val="btLr"/>
            <w:vAlign w:val="center"/>
          </w:tcPr>
          <w:p w:rsidR="00911002" w:rsidRPr="00C92A04" w:rsidRDefault="00707652" w:rsidP="00F942CC">
            <w:pPr>
              <w:ind w:left="113" w:right="113"/>
              <w:jc w:val="center"/>
              <w:rPr>
                <w:rFonts w:cs="Arial"/>
                <w:sz w:val="20"/>
                <w:szCs w:val="20"/>
                <w:lang w:val="fi-FI"/>
              </w:rPr>
            </w:pPr>
            <w:r w:rsidRPr="00C92A04">
              <w:rPr>
                <w:rFonts w:cs="Arial"/>
                <w:sz w:val="20"/>
                <w:szCs w:val="20"/>
                <w:lang w:val="fi-FI"/>
              </w:rPr>
              <w:t xml:space="preserve">II </w:t>
            </w:r>
            <w:r w:rsidR="00911002" w:rsidRPr="00C92A04">
              <w:rPr>
                <w:rFonts w:cs="Arial"/>
                <w:sz w:val="20"/>
                <w:szCs w:val="20"/>
                <w:lang w:val="fi-FI"/>
              </w:rPr>
              <w:t>VAPAUDET</w:t>
            </w: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6</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Oikeus vapauteen ja turvallisuuteen</w:t>
            </w:r>
          </w:p>
          <w:p w:rsidR="00911002" w:rsidRPr="00C92A04" w:rsidRDefault="00911002" w:rsidP="00F942CC">
            <w:pPr>
              <w:keepNext/>
              <w:keepLines/>
              <w:rPr>
                <w:rFonts w:cs="Arial"/>
                <w:sz w:val="20"/>
                <w:szCs w:val="20"/>
                <w:lang w:val="fi-FI"/>
              </w:rPr>
            </w:pPr>
            <w:r w:rsidRPr="00C92A04">
              <w:rPr>
                <w:rFonts w:cs="Arial"/>
                <w:sz w:val="20"/>
                <w:szCs w:val="20"/>
                <w:lang w:val="fi-FI"/>
              </w:rPr>
              <w:t>Jokaisella on oikeus vapauteen ja henkilökohtaiseen turvallisuuteen.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7</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Yksityis- ja perhe-elämän kunnioittaminen</w:t>
            </w:r>
          </w:p>
          <w:p w:rsidR="00911002" w:rsidRPr="00C92A04" w:rsidRDefault="00911002" w:rsidP="00F942CC">
            <w:pPr>
              <w:keepNext/>
              <w:keepLines/>
              <w:rPr>
                <w:rFonts w:cs="Arial"/>
                <w:sz w:val="20"/>
                <w:szCs w:val="20"/>
                <w:lang w:val="fi-FI"/>
              </w:rPr>
            </w:pPr>
            <w:r w:rsidRPr="00C92A04">
              <w:rPr>
                <w:rFonts w:cs="Arial"/>
                <w:sz w:val="20"/>
                <w:szCs w:val="20"/>
                <w:lang w:val="fi-FI"/>
              </w:rPr>
              <w:t>Jokaisella on oikeus siihen, että hänen yksityis- ja perhe-elämäänsä, kotiaan sekä viestejään kunnioitetaan.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8</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Henkilötietojen suoja</w:t>
            </w:r>
          </w:p>
          <w:p w:rsidR="00911002" w:rsidRPr="00C92A04" w:rsidRDefault="00911002" w:rsidP="00F942CC">
            <w:pPr>
              <w:keepNext/>
              <w:keepLines/>
              <w:rPr>
                <w:rFonts w:cs="Arial"/>
                <w:sz w:val="20"/>
                <w:szCs w:val="20"/>
                <w:lang w:val="fi-FI"/>
              </w:rPr>
            </w:pPr>
            <w:r w:rsidRPr="00C92A04">
              <w:rPr>
                <w:rFonts w:cs="Arial"/>
                <w:sz w:val="20"/>
                <w:szCs w:val="20"/>
                <w:lang w:val="fi-FI"/>
              </w:rPr>
              <w:t>1. Jokaisella on oikeus henkilötietojensa suojaan.</w:t>
            </w:r>
          </w:p>
          <w:p w:rsidR="00911002" w:rsidRPr="00C92A04" w:rsidRDefault="00911002" w:rsidP="00F942CC">
            <w:pPr>
              <w:keepNext/>
              <w:keepLines/>
              <w:rPr>
                <w:rFonts w:cs="Arial"/>
                <w:sz w:val="20"/>
                <w:szCs w:val="20"/>
                <w:lang w:val="fi-FI"/>
              </w:rPr>
            </w:pPr>
            <w:r w:rsidRPr="00C92A04">
              <w:rPr>
                <w:rFonts w:cs="Arial"/>
                <w:sz w:val="20"/>
                <w:szCs w:val="20"/>
                <w:lang w:val="fi-FI"/>
              </w:rPr>
              <w:t>2. Tietojen käsittelyn on oltava asianmukaista ja sen on tapahduttava tiettyä tarkoitusta varten ja asianomaisen henkilön suostumuksella tai muun laissa säädetyn oikeuttavan perusteen nojalla. Jokaisella on oikeus tutustua niihin tietoihin, joita hänestä on kerätty, ja saada ne oikaistuksi.</w:t>
            </w:r>
          </w:p>
          <w:p w:rsidR="00911002" w:rsidRPr="00C92A04" w:rsidRDefault="00911002" w:rsidP="00F942CC">
            <w:pPr>
              <w:keepNext/>
              <w:keepLines/>
              <w:rPr>
                <w:rFonts w:cs="Arial"/>
                <w:sz w:val="20"/>
                <w:szCs w:val="20"/>
                <w:lang w:val="fi-FI"/>
              </w:rPr>
            </w:pPr>
            <w:r w:rsidRPr="00C92A04">
              <w:rPr>
                <w:rFonts w:cs="Arial"/>
                <w:sz w:val="20"/>
                <w:szCs w:val="20"/>
                <w:lang w:val="fi-FI"/>
              </w:rPr>
              <w:t>3. Riippumaton viranomainen valvoo näiden sääntöjen noudattamista.</w:t>
            </w:r>
          </w:p>
        </w:tc>
        <w:tc>
          <w:tcPr>
            <w:tcW w:w="1926" w:type="pct"/>
          </w:tcPr>
          <w:p w:rsidR="00911002" w:rsidRPr="00C92A04" w:rsidRDefault="00911002">
            <w:pPr>
              <w:rPr>
                <w:rFonts w:cs="Arial"/>
                <w:sz w:val="20"/>
                <w:szCs w:val="20"/>
                <w:lang w:val="fi-FI"/>
              </w:rPr>
            </w:pPr>
          </w:p>
        </w:tc>
      </w:tr>
      <w:tr w:rsidR="00F942CC" w:rsidRPr="00902D6B"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9</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Oikeus solmia avioliitto ja oikeus perustaa perhe</w:t>
            </w:r>
          </w:p>
          <w:p w:rsidR="00911002" w:rsidRPr="00C92A04" w:rsidRDefault="00911002" w:rsidP="00F942CC">
            <w:pPr>
              <w:keepNext/>
              <w:keepLines/>
              <w:rPr>
                <w:rFonts w:cs="Arial"/>
                <w:sz w:val="20"/>
                <w:szCs w:val="20"/>
                <w:lang w:val="fi-FI"/>
              </w:rPr>
            </w:pPr>
            <w:r w:rsidRPr="00C92A04">
              <w:rPr>
                <w:rFonts w:cs="Arial"/>
                <w:sz w:val="20"/>
                <w:szCs w:val="20"/>
                <w:lang w:val="fi-FI"/>
              </w:rPr>
              <w:t xml:space="preserve">Oikeus solmia avioliitto ja oikeus </w:t>
            </w:r>
            <w:proofErr w:type="gramStart"/>
            <w:r w:rsidRPr="00C92A04">
              <w:rPr>
                <w:rFonts w:cs="Arial"/>
                <w:sz w:val="20"/>
                <w:szCs w:val="20"/>
                <w:lang w:val="fi-FI"/>
              </w:rPr>
              <w:t>perustaa</w:t>
            </w:r>
            <w:proofErr w:type="gramEnd"/>
            <w:r w:rsidRPr="00C92A04">
              <w:rPr>
                <w:rFonts w:cs="Arial"/>
                <w:sz w:val="20"/>
                <w:szCs w:val="20"/>
                <w:lang w:val="fi-FI"/>
              </w:rPr>
              <w:t xml:space="preserve"> perhe taataan tämän oikeuden käyttöä sääntelevien kansallisten lainsäädäntöjen mukaisesti.</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10</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Ajatuksen, omantunnon ja uskonnon vapaus</w:t>
            </w:r>
          </w:p>
          <w:p w:rsidR="00911002" w:rsidRPr="00C92A04" w:rsidRDefault="00911002" w:rsidP="00F942CC">
            <w:pPr>
              <w:keepNext/>
              <w:keepLines/>
              <w:rPr>
                <w:rFonts w:cs="Arial"/>
                <w:sz w:val="20"/>
                <w:szCs w:val="20"/>
                <w:lang w:val="fi-FI"/>
              </w:rPr>
            </w:pPr>
            <w:r w:rsidRPr="00C92A04">
              <w:rPr>
                <w:rFonts w:cs="Arial"/>
                <w:sz w:val="20"/>
                <w:szCs w:val="20"/>
                <w:lang w:val="fi-FI"/>
              </w:rPr>
              <w:t xml:space="preserve">1. Jokaisella on oikeus ajatuksen, omantunnon ja uskonnon vapauteen. Tämä oikeus sisältää vapauden vaihtaa uskontoa tai vakaumusta ja vapauden tunnustaa uskontoa tai vakaumusta joko yksin tai yhdessä muiden kanssa julkisesti tai yksityisesti </w:t>
            </w:r>
            <w:r w:rsidRPr="00C92A04">
              <w:rPr>
                <w:rFonts w:cs="Arial"/>
                <w:sz w:val="20"/>
                <w:szCs w:val="20"/>
                <w:lang w:val="fi-FI"/>
              </w:rPr>
              <w:lastRenderedPageBreak/>
              <w:t>jumalanpalveluksissa, opettamalla, hartaudenharjoituksissa ja uskonnollisin menoin.</w:t>
            </w:r>
          </w:p>
          <w:p w:rsidR="00911002" w:rsidRPr="00C92A04" w:rsidRDefault="00911002" w:rsidP="00F942CC">
            <w:pPr>
              <w:keepNext/>
              <w:keepLines/>
              <w:rPr>
                <w:rFonts w:cs="Arial"/>
                <w:sz w:val="20"/>
                <w:szCs w:val="20"/>
                <w:lang w:val="fi-FI"/>
              </w:rPr>
            </w:pPr>
            <w:r w:rsidRPr="00C92A04">
              <w:rPr>
                <w:rFonts w:cs="Arial"/>
                <w:sz w:val="20"/>
                <w:szCs w:val="20"/>
                <w:lang w:val="fi-FI"/>
              </w:rPr>
              <w:t>2. Oikeus kieltäytyä asepalveluksesta omantunnon syistä tunnustetaan tämän oikeuden käyttöä sääntelevien kansallisten lainsäädäntöjen mukaisesti.</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11</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Sananvapaus ja tiedonvälityksen vapaus</w:t>
            </w:r>
          </w:p>
          <w:p w:rsidR="00911002" w:rsidRPr="00C92A04" w:rsidRDefault="00911002" w:rsidP="00F942CC">
            <w:pPr>
              <w:keepNext/>
              <w:keepLines/>
              <w:rPr>
                <w:rFonts w:cs="Arial"/>
                <w:sz w:val="20"/>
                <w:szCs w:val="20"/>
                <w:lang w:val="fi-FI"/>
              </w:rPr>
            </w:pPr>
            <w:r w:rsidRPr="00C92A04">
              <w:rPr>
                <w:rFonts w:cs="Arial"/>
                <w:sz w:val="20"/>
                <w:szCs w:val="20"/>
                <w:lang w:val="fi-FI"/>
              </w:rPr>
              <w:t>1. Jokaisella on oikeus sananvapauteen. Tämä oikeus sisältää mielipiteenvapauden sekä vapauden vastaanottaa ja levittää tietoja tai ajatuksia viranomaisten siihen puuttumatta ja alueellisista rajoista riippumatta.</w:t>
            </w:r>
          </w:p>
          <w:p w:rsidR="00911002" w:rsidRPr="00C92A04" w:rsidRDefault="00911002" w:rsidP="00F942CC">
            <w:pPr>
              <w:keepNext/>
              <w:keepLines/>
              <w:rPr>
                <w:rFonts w:cs="Arial"/>
                <w:sz w:val="20"/>
                <w:szCs w:val="20"/>
                <w:lang w:val="fi-FI"/>
              </w:rPr>
            </w:pPr>
            <w:r w:rsidRPr="00C92A04">
              <w:rPr>
                <w:rFonts w:cs="Arial"/>
                <w:sz w:val="20"/>
                <w:szCs w:val="20"/>
                <w:lang w:val="fi-FI"/>
              </w:rPr>
              <w:t>2. Tiedotusvälineiden vapautta ja moniarvoisuutta kunnioitetaan.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12</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Kokoontumis- ja yhdistymisvapaus</w:t>
            </w:r>
          </w:p>
          <w:p w:rsidR="00911002" w:rsidRPr="00C92A04" w:rsidRDefault="00911002" w:rsidP="00F942CC">
            <w:pPr>
              <w:keepNext/>
              <w:keepLines/>
              <w:rPr>
                <w:rFonts w:cs="Arial"/>
                <w:sz w:val="20"/>
                <w:szCs w:val="20"/>
                <w:lang w:val="fi-FI"/>
              </w:rPr>
            </w:pPr>
            <w:r w:rsidRPr="00C92A04">
              <w:rPr>
                <w:rFonts w:cs="Arial"/>
                <w:sz w:val="20"/>
                <w:szCs w:val="20"/>
                <w:lang w:val="fi-FI"/>
              </w:rPr>
              <w:t>1. Jokaisella on oikeus rauhanomaiseen kokoontumisvapauteen ja yhdistymisvapauteen kaikilla tasoilla erityisesti poliittisessa, ammattiyhdistys- ja yhteiskunnallisessa toiminnassa, mihin sisältyy, että jokaisella on oikeus perustaa yhdessä muiden kanssa ammattiyhdistyksiä ja liittyä niihin etujensa puolustamiseksi.</w:t>
            </w:r>
          </w:p>
          <w:p w:rsidR="00911002" w:rsidRPr="00C92A04" w:rsidRDefault="00911002" w:rsidP="00F942CC">
            <w:pPr>
              <w:keepNext/>
              <w:keepLines/>
              <w:rPr>
                <w:rFonts w:cs="Arial"/>
                <w:sz w:val="20"/>
                <w:szCs w:val="20"/>
                <w:lang w:val="fi-FI"/>
              </w:rPr>
            </w:pPr>
            <w:r w:rsidRPr="00C92A04">
              <w:rPr>
                <w:rFonts w:cs="Arial"/>
                <w:sz w:val="20"/>
                <w:szCs w:val="20"/>
                <w:lang w:val="fi-FI"/>
              </w:rPr>
              <w:t>2. Unionin tason poliittiset puolueet myötävaikuttavat unionin kansalaisten poliittisen tahdon ilmaisemiseen.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13</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Taiteen ja tutkimuksen vapaus</w:t>
            </w:r>
          </w:p>
          <w:p w:rsidR="00911002" w:rsidRPr="00C92A04" w:rsidRDefault="00911002" w:rsidP="00F942CC">
            <w:pPr>
              <w:keepNext/>
              <w:keepLines/>
              <w:rPr>
                <w:rFonts w:cs="Arial"/>
                <w:sz w:val="20"/>
                <w:szCs w:val="20"/>
                <w:lang w:val="fi-FI"/>
              </w:rPr>
            </w:pPr>
            <w:r w:rsidRPr="00C92A04">
              <w:rPr>
                <w:rFonts w:cs="Arial"/>
                <w:sz w:val="20"/>
                <w:szCs w:val="20"/>
                <w:lang w:val="fi-FI"/>
              </w:rPr>
              <w:t>Taiteen ja tieteellisen tutkimuksen vapaus turvataan. Akateemista vapautta kunnioitetaan.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14</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Oikeus koulutukseen</w:t>
            </w:r>
          </w:p>
          <w:p w:rsidR="00911002" w:rsidRPr="00C92A04" w:rsidRDefault="00911002" w:rsidP="00F942CC">
            <w:pPr>
              <w:keepNext/>
              <w:keepLines/>
              <w:rPr>
                <w:rFonts w:cs="Arial"/>
                <w:sz w:val="20"/>
                <w:szCs w:val="20"/>
                <w:lang w:val="fi-FI"/>
              </w:rPr>
            </w:pPr>
            <w:r w:rsidRPr="00C92A04">
              <w:rPr>
                <w:rFonts w:cs="Arial"/>
                <w:sz w:val="20"/>
                <w:szCs w:val="20"/>
                <w:lang w:val="fi-FI"/>
              </w:rPr>
              <w:t>1. Jokaisella on oikeus koulutukseen ja oikeus saada ammatillista koulutusta sekä jatko- ja täydennyskoulutusta.</w:t>
            </w:r>
          </w:p>
          <w:p w:rsidR="00911002" w:rsidRPr="00C92A04" w:rsidRDefault="00911002" w:rsidP="00F942CC">
            <w:pPr>
              <w:keepNext/>
              <w:keepLines/>
              <w:rPr>
                <w:rFonts w:cs="Arial"/>
                <w:sz w:val="20"/>
                <w:szCs w:val="20"/>
                <w:lang w:val="fi-FI"/>
              </w:rPr>
            </w:pPr>
            <w:r w:rsidRPr="00C92A04">
              <w:rPr>
                <w:rFonts w:cs="Arial"/>
                <w:sz w:val="20"/>
                <w:szCs w:val="20"/>
                <w:lang w:val="fi-FI"/>
              </w:rPr>
              <w:t>2. Tähän oikeuteen kuuluu mahdollisuus saada maksutta oppivelvollisuuteen perustuvaa opetusta.</w:t>
            </w:r>
          </w:p>
          <w:p w:rsidR="00911002" w:rsidRPr="00C92A04" w:rsidRDefault="00911002" w:rsidP="00F942CC">
            <w:pPr>
              <w:keepNext/>
              <w:keepLines/>
              <w:rPr>
                <w:rFonts w:cs="Arial"/>
                <w:sz w:val="20"/>
                <w:szCs w:val="20"/>
                <w:lang w:val="fi-FI"/>
              </w:rPr>
            </w:pPr>
            <w:r w:rsidRPr="00C92A04">
              <w:rPr>
                <w:rFonts w:cs="Arial"/>
                <w:sz w:val="20"/>
                <w:szCs w:val="20"/>
                <w:lang w:val="fi-FI"/>
              </w:rPr>
              <w:t>3. Vapautta perustaa oppilaitoksia demokratian periaatteita kunnioittaen sekä vanhempien oikeutta varmistaa lapsilleen omien uskonnollisten, aatteellisten ja kasvatuksellisten vakaumustensa mukainen kasvatus ja opetus kunnioitetaan kyseisen vapauden ja kyseisen oikeuden käyttöä sääntelevien kansallisten lainsäädäntöjen mukaisesti.</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15</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Ammatillinen vapaus ja oikeus tehdä työtä</w:t>
            </w:r>
          </w:p>
          <w:p w:rsidR="00911002" w:rsidRPr="00C92A04" w:rsidRDefault="00911002" w:rsidP="00F942CC">
            <w:pPr>
              <w:keepNext/>
              <w:keepLines/>
              <w:rPr>
                <w:rFonts w:cs="Arial"/>
                <w:sz w:val="20"/>
                <w:szCs w:val="20"/>
                <w:lang w:val="fi-FI"/>
              </w:rPr>
            </w:pPr>
            <w:r w:rsidRPr="00C92A04">
              <w:rPr>
                <w:rFonts w:cs="Arial"/>
                <w:sz w:val="20"/>
                <w:szCs w:val="20"/>
                <w:lang w:val="fi-FI"/>
              </w:rPr>
              <w:t>1. Jokaisella on oikeus tehdä työtä ja harjoittaa vapaasti valitsemaansa tai hyväksymäänsä ammattia.</w:t>
            </w:r>
          </w:p>
          <w:p w:rsidR="00911002" w:rsidRPr="00C92A04" w:rsidRDefault="00911002" w:rsidP="00F942CC">
            <w:pPr>
              <w:keepNext/>
              <w:keepLines/>
              <w:rPr>
                <w:rFonts w:cs="Arial"/>
                <w:sz w:val="20"/>
                <w:szCs w:val="20"/>
                <w:lang w:val="fi-FI"/>
              </w:rPr>
            </w:pPr>
            <w:r w:rsidRPr="00C92A04">
              <w:rPr>
                <w:rFonts w:cs="Arial"/>
                <w:sz w:val="20"/>
                <w:szCs w:val="20"/>
                <w:lang w:val="fi-FI"/>
              </w:rPr>
              <w:t>2. Jokaisella unionin kansalaisella on vapaus hakea työpaikkaa, tehdä työtä, sijoittautua tai tarjota palveluja missä tahansa jäsenvaltiossa.</w:t>
            </w:r>
          </w:p>
          <w:p w:rsidR="00911002" w:rsidRPr="00C92A04" w:rsidRDefault="00911002" w:rsidP="00F942CC">
            <w:pPr>
              <w:keepNext/>
              <w:keepLines/>
              <w:rPr>
                <w:rFonts w:cs="Arial"/>
                <w:sz w:val="20"/>
                <w:szCs w:val="20"/>
                <w:lang w:val="fi-FI"/>
              </w:rPr>
            </w:pPr>
            <w:r w:rsidRPr="00C92A04">
              <w:rPr>
                <w:rFonts w:cs="Arial"/>
                <w:sz w:val="20"/>
                <w:szCs w:val="20"/>
                <w:lang w:val="fi-FI"/>
              </w:rPr>
              <w:t>3. Kolmansien maiden kansalaisilla, joilla on lupa tehdä työtä jäsenvaltioiden alueella, on oikeus samanlaisiin työehtoihin kuin unionin kansalaisilla.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16</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Elinkeinovapaus</w:t>
            </w:r>
          </w:p>
          <w:p w:rsidR="00911002" w:rsidRPr="00C92A04" w:rsidRDefault="00911002" w:rsidP="00F942CC">
            <w:pPr>
              <w:keepNext/>
              <w:keepLines/>
              <w:rPr>
                <w:rFonts w:cs="Arial"/>
                <w:sz w:val="20"/>
                <w:szCs w:val="20"/>
                <w:lang w:val="fi-FI"/>
              </w:rPr>
            </w:pPr>
            <w:r w:rsidRPr="00C92A04">
              <w:rPr>
                <w:rFonts w:cs="Arial"/>
                <w:sz w:val="20"/>
                <w:szCs w:val="20"/>
                <w:lang w:val="fi-FI"/>
              </w:rPr>
              <w:t>Elinkeinovapaus tunnustetaan yhteisön oikeuden sekä kansallisten lainsäädäntöjen ja käytäntöjen mukaisesti.</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17</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Omistusoikeus</w:t>
            </w:r>
          </w:p>
          <w:p w:rsidR="00911002" w:rsidRPr="00C92A04" w:rsidRDefault="00911002" w:rsidP="00F942CC">
            <w:pPr>
              <w:keepNext/>
              <w:keepLines/>
              <w:rPr>
                <w:rFonts w:cs="Arial"/>
                <w:sz w:val="20"/>
                <w:szCs w:val="20"/>
                <w:lang w:val="fi-FI"/>
              </w:rPr>
            </w:pPr>
            <w:r w:rsidRPr="00C92A04">
              <w:rPr>
                <w:rFonts w:cs="Arial"/>
                <w:sz w:val="20"/>
                <w:szCs w:val="20"/>
                <w:lang w:val="fi-FI"/>
              </w:rPr>
              <w:t xml:space="preserve">1. Jokaisella on oikeus nauttia laillisesti hankkimastaan omaisuudesta sekä käyttää, luovuttaa ja testamentata sitä. Keneltäkään ei saa riistää hänen omaisuuttaan paitsi yleisen edun sitä vaatiessa laissa säädetyissä tapauksissa ja laissa säädettyjen ehtojen </w:t>
            </w:r>
            <w:r w:rsidRPr="00C92A04">
              <w:rPr>
                <w:rFonts w:cs="Arial"/>
                <w:sz w:val="20"/>
                <w:szCs w:val="20"/>
                <w:lang w:val="fi-FI"/>
              </w:rPr>
              <w:lastRenderedPageBreak/>
              <w:t>mukaisesti ja siten, että hänelle suoritetaan kohtuullisessa ajassa oikeudenmukainen korvaus omaisuuden menetyksestä. Omaisuuden käyttöä voidaan säännellä lailla siinä määrin kuin se on yleisen edun mukaan välttämätöntä.</w:t>
            </w:r>
          </w:p>
          <w:p w:rsidR="00911002" w:rsidRPr="00C92A04" w:rsidRDefault="00911002" w:rsidP="00F942CC">
            <w:pPr>
              <w:keepNext/>
              <w:keepLines/>
              <w:rPr>
                <w:rFonts w:cs="Arial"/>
                <w:sz w:val="20"/>
                <w:szCs w:val="20"/>
                <w:lang w:val="fi-FI"/>
              </w:rPr>
            </w:pPr>
            <w:r w:rsidRPr="00C92A04">
              <w:rPr>
                <w:rFonts w:cs="Arial"/>
                <w:sz w:val="20"/>
                <w:szCs w:val="20"/>
                <w:lang w:val="fi-FI"/>
              </w:rPr>
              <w:t>2. Teollis- ja tekijänoikeudet turvataan.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18</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Oikeus turvapaikkaan</w:t>
            </w:r>
          </w:p>
          <w:p w:rsidR="00911002" w:rsidRPr="00C92A04" w:rsidRDefault="00911002" w:rsidP="00F942CC">
            <w:pPr>
              <w:keepNext/>
              <w:keepLines/>
              <w:rPr>
                <w:rFonts w:cs="Arial"/>
                <w:sz w:val="20"/>
                <w:szCs w:val="20"/>
                <w:lang w:val="fi-FI"/>
              </w:rPr>
            </w:pPr>
            <w:r w:rsidRPr="00C92A04">
              <w:rPr>
                <w:rFonts w:cs="Arial"/>
                <w:sz w:val="20"/>
                <w:szCs w:val="20"/>
                <w:lang w:val="fi-FI"/>
              </w:rPr>
              <w:t>Oikeus turvapaikkaan taataan pakolaisten oikeusasemaa koskevan 28 päivänä heinäkuuta 1951 tehdyn Geneven yleissopimuksen ja pakolaisten oikeusasemaa koskevan 31 päivänä tammikuuta 1967 tehdyn</w:t>
            </w:r>
          </w:p>
          <w:p w:rsidR="00911002" w:rsidRPr="00C92A04" w:rsidRDefault="00911002" w:rsidP="00F942CC">
            <w:pPr>
              <w:keepNext/>
              <w:keepLines/>
              <w:rPr>
                <w:rFonts w:cs="Arial"/>
                <w:sz w:val="20"/>
                <w:szCs w:val="20"/>
                <w:lang w:val="fi-FI"/>
              </w:rPr>
            </w:pPr>
            <w:r w:rsidRPr="00C92A04">
              <w:rPr>
                <w:rFonts w:cs="Arial"/>
                <w:sz w:val="20"/>
                <w:szCs w:val="20"/>
                <w:lang w:val="fi-FI"/>
              </w:rPr>
              <w:t>pöytäkirjan määräysten sekä Euroopan yhteisön perustamissopimuksen mukaisesti.</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19</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Suoja palauttamis-, karkottamis- ja luovuttamistapauksissa</w:t>
            </w:r>
          </w:p>
          <w:p w:rsidR="00911002" w:rsidRPr="00C92A04" w:rsidRDefault="00911002" w:rsidP="00F942CC">
            <w:pPr>
              <w:keepNext/>
              <w:keepLines/>
              <w:rPr>
                <w:rFonts w:cs="Arial"/>
                <w:sz w:val="20"/>
                <w:szCs w:val="20"/>
                <w:lang w:val="fi-FI"/>
              </w:rPr>
            </w:pPr>
            <w:r w:rsidRPr="00C92A04">
              <w:rPr>
                <w:rFonts w:cs="Arial"/>
                <w:sz w:val="20"/>
                <w:szCs w:val="20"/>
                <w:lang w:val="fi-FI"/>
              </w:rPr>
              <w:t>1. Joukkokarkotukset kielletään.</w:t>
            </w:r>
          </w:p>
          <w:p w:rsidR="00911002" w:rsidRPr="00C92A04" w:rsidRDefault="00911002" w:rsidP="00F942CC">
            <w:pPr>
              <w:keepNext/>
              <w:keepLines/>
              <w:rPr>
                <w:rFonts w:cs="Arial"/>
                <w:sz w:val="20"/>
                <w:szCs w:val="20"/>
                <w:lang w:val="fi-FI"/>
              </w:rPr>
            </w:pPr>
            <w:r w:rsidRPr="00C92A04">
              <w:rPr>
                <w:rFonts w:cs="Arial"/>
                <w:sz w:val="20"/>
                <w:szCs w:val="20"/>
                <w:lang w:val="fi-FI"/>
              </w:rPr>
              <w:t>2. Ketään ei saa palauttaa, karkottaa tai luovuttaa sellaiseen maahan, jossa häntä vakavasti uhkaa kuolemanrangaistus, kidutus tai muu epäinhimillinen tai halventava rangaistus tai kohtelu.</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restart"/>
            <w:textDirection w:val="btLr"/>
            <w:vAlign w:val="center"/>
          </w:tcPr>
          <w:p w:rsidR="00911002" w:rsidRPr="00C92A04" w:rsidRDefault="00707652" w:rsidP="00F942CC">
            <w:pPr>
              <w:ind w:left="113" w:right="113"/>
              <w:jc w:val="center"/>
              <w:rPr>
                <w:rFonts w:cs="Arial"/>
                <w:sz w:val="20"/>
                <w:szCs w:val="20"/>
                <w:lang w:val="fi-FI"/>
              </w:rPr>
            </w:pPr>
            <w:r w:rsidRPr="00C92A04">
              <w:rPr>
                <w:rFonts w:cs="Arial"/>
                <w:sz w:val="20"/>
                <w:szCs w:val="20"/>
                <w:lang w:val="fi-FI"/>
              </w:rPr>
              <w:t xml:space="preserve">III </w:t>
            </w:r>
            <w:r w:rsidR="00911002" w:rsidRPr="00C92A04">
              <w:rPr>
                <w:rFonts w:cs="Arial"/>
                <w:sz w:val="20"/>
                <w:szCs w:val="20"/>
                <w:lang w:val="fi-FI"/>
              </w:rPr>
              <w:t>TASA-ARVO</w:t>
            </w: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20</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Yhdenvertaisuus lain edessä</w:t>
            </w:r>
          </w:p>
          <w:p w:rsidR="00911002" w:rsidRPr="00C92A04" w:rsidRDefault="00911002" w:rsidP="00F942CC">
            <w:pPr>
              <w:keepNext/>
              <w:keepLines/>
              <w:rPr>
                <w:rFonts w:cs="Arial"/>
                <w:sz w:val="20"/>
                <w:szCs w:val="20"/>
                <w:lang w:val="fi-FI"/>
              </w:rPr>
            </w:pPr>
            <w:r w:rsidRPr="00C92A04">
              <w:rPr>
                <w:rFonts w:cs="Arial"/>
                <w:sz w:val="20"/>
                <w:szCs w:val="20"/>
                <w:lang w:val="fi-FI"/>
              </w:rPr>
              <w:t>Kaikki ihmiset ovat yhdenvertaisia lain edessä.</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21</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Syrjintäkielto</w:t>
            </w:r>
          </w:p>
          <w:p w:rsidR="00911002" w:rsidRPr="00C92A04" w:rsidRDefault="00911002" w:rsidP="00F942CC">
            <w:pPr>
              <w:keepNext/>
              <w:keepLines/>
              <w:rPr>
                <w:rFonts w:cs="Arial"/>
                <w:sz w:val="20"/>
                <w:szCs w:val="20"/>
                <w:lang w:val="fi-FI"/>
              </w:rPr>
            </w:pPr>
            <w:r w:rsidRPr="00C92A04">
              <w:rPr>
                <w:rFonts w:cs="Arial"/>
                <w:sz w:val="20"/>
                <w:szCs w:val="20"/>
                <w:lang w:val="fi-FI"/>
              </w:rPr>
              <w:t>1. Kielletään kaikenlainen syrjintä, joka perustuu sukupuoleen, rotuun, ihonväriin tai etniseen taikka yhteiskunnalliseen alkuperään, geneettisiin ominaisuuksiin, kieleen, uskontoon tai vakaumukseen, poliittisiin tai muihin mielipiteisiin, kansalliseen vähemmistöön kuulumiseen, varallisuuteen, syntyperään, vammaisuuteen, ikään tai sukupuoliseen suuntautumiseen tai muuhun sellaiseen seikkaan.</w:t>
            </w:r>
          </w:p>
          <w:p w:rsidR="00911002" w:rsidRPr="00C92A04" w:rsidRDefault="00911002" w:rsidP="00F942CC">
            <w:pPr>
              <w:keepNext/>
              <w:keepLines/>
              <w:rPr>
                <w:rFonts w:cs="Arial"/>
                <w:sz w:val="20"/>
                <w:szCs w:val="20"/>
                <w:lang w:val="fi-FI"/>
              </w:rPr>
            </w:pPr>
            <w:r w:rsidRPr="00C92A04">
              <w:rPr>
                <w:rFonts w:cs="Arial"/>
                <w:sz w:val="20"/>
                <w:szCs w:val="20"/>
                <w:lang w:val="fi-FI"/>
              </w:rPr>
              <w:t>2. Kielletään kaikenlainen kansalaisuuteen perustuva syrjintä Euroopan yhteisön perustamissopimuksen ja Euroopan unionista tehdyn sopimuksen soveltamisalalla, sanotun kuitenkaan rajoittamatta mainittujen sopimusten erityismääräysten soveltamista.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22</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Kulttuurinen, uskonnollinen ja kielellinen monimuotoisuus</w:t>
            </w:r>
          </w:p>
          <w:p w:rsidR="00911002" w:rsidRPr="00C92A04" w:rsidRDefault="00911002" w:rsidP="00F942CC">
            <w:pPr>
              <w:keepNext/>
              <w:keepLines/>
              <w:rPr>
                <w:rFonts w:cs="Arial"/>
                <w:sz w:val="20"/>
                <w:szCs w:val="20"/>
                <w:lang w:val="fi-FI"/>
              </w:rPr>
            </w:pPr>
            <w:r w:rsidRPr="00C92A04">
              <w:rPr>
                <w:rFonts w:cs="Arial"/>
                <w:sz w:val="20"/>
                <w:szCs w:val="20"/>
                <w:lang w:val="fi-FI"/>
              </w:rPr>
              <w:t>Unioni kunnioittaa kulttuurista, uskonnollista ja kielellistä monimuotoisuutta.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23</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Miesten ja naisten välinen tasa-arvo</w:t>
            </w:r>
          </w:p>
          <w:p w:rsidR="00911002" w:rsidRPr="00C92A04" w:rsidRDefault="00911002" w:rsidP="00F942CC">
            <w:pPr>
              <w:keepNext/>
              <w:keepLines/>
              <w:rPr>
                <w:rFonts w:cs="Arial"/>
                <w:sz w:val="20"/>
                <w:szCs w:val="20"/>
                <w:lang w:val="fi-FI"/>
              </w:rPr>
            </w:pPr>
            <w:r w:rsidRPr="00C92A04">
              <w:rPr>
                <w:rFonts w:cs="Arial"/>
                <w:sz w:val="20"/>
                <w:szCs w:val="20"/>
                <w:lang w:val="fi-FI"/>
              </w:rPr>
              <w:t>Miesten ja naisten välinen tasa-arvo on varmistettava kaikilla aloilla työelämä ja palkkaus mukaan lukien.</w:t>
            </w:r>
          </w:p>
          <w:p w:rsidR="00911002" w:rsidRPr="00C92A04" w:rsidRDefault="00911002" w:rsidP="00F942CC">
            <w:pPr>
              <w:keepNext/>
              <w:keepLines/>
              <w:rPr>
                <w:rFonts w:cs="Arial"/>
                <w:sz w:val="20"/>
                <w:szCs w:val="20"/>
                <w:lang w:val="fi-FI"/>
              </w:rPr>
            </w:pPr>
            <w:r w:rsidRPr="00C92A04">
              <w:rPr>
                <w:rFonts w:cs="Arial"/>
                <w:sz w:val="20"/>
                <w:szCs w:val="20"/>
                <w:lang w:val="fi-FI"/>
              </w:rPr>
              <w:t>Tasa-arvon periaate ei estä pitämästä voimassa tai toteuttamasta toimenpiteitä, jotka tarjoavat erityisetuja aliedustettuna olevalle sukupuolelle.</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24</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Lapsen oikeudet</w:t>
            </w:r>
          </w:p>
          <w:p w:rsidR="00911002" w:rsidRPr="00C92A04" w:rsidRDefault="00911002" w:rsidP="00F942CC">
            <w:pPr>
              <w:keepNext/>
              <w:keepLines/>
              <w:rPr>
                <w:rFonts w:cs="Arial"/>
                <w:sz w:val="20"/>
                <w:szCs w:val="20"/>
                <w:lang w:val="fi-FI"/>
              </w:rPr>
            </w:pPr>
            <w:r w:rsidRPr="00C92A04">
              <w:rPr>
                <w:rFonts w:cs="Arial"/>
                <w:sz w:val="20"/>
                <w:szCs w:val="20"/>
                <w:lang w:val="fi-FI"/>
              </w:rPr>
              <w:t>1. Lapsella on oikeus hänen hyvinvoinnilleen välttämättömään suojeluun ja huolenpitoon. Lapsen on saatava ilmaista vapaasti mielipiteensä. Lapsen mielipide on otettava huomioon häntä koskevissa asioissa, hänen ikänsä ja kehitystasonsa mukaisesti.</w:t>
            </w:r>
          </w:p>
          <w:p w:rsidR="00911002" w:rsidRPr="00C92A04" w:rsidRDefault="00911002" w:rsidP="00F942CC">
            <w:pPr>
              <w:keepNext/>
              <w:keepLines/>
              <w:rPr>
                <w:rFonts w:cs="Arial"/>
                <w:sz w:val="20"/>
                <w:szCs w:val="20"/>
                <w:lang w:val="fi-FI"/>
              </w:rPr>
            </w:pPr>
            <w:r w:rsidRPr="00C92A04">
              <w:rPr>
                <w:rFonts w:cs="Arial"/>
                <w:sz w:val="20"/>
                <w:szCs w:val="20"/>
                <w:lang w:val="fi-FI"/>
              </w:rPr>
              <w:t>2. Kaikissa lasta koskevissa viranomaisten tai yksityisten laitosten toimissa on ensisijaisesti otettava huomioon lapsen etu.</w:t>
            </w:r>
          </w:p>
          <w:p w:rsidR="00911002" w:rsidRPr="00C92A04" w:rsidRDefault="00911002" w:rsidP="00F942CC">
            <w:pPr>
              <w:keepNext/>
              <w:keepLines/>
              <w:rPr>
                <w:rFonts w:cs="Arial"/>
                <w:sz w:val="20"/>
                <w:szCs w:val="20"/>
                <w:lang w:val="fi-FI"/>
              </w:rPr>
            </w:pPr>
            <w:r w:rsidRPr="00C92A04">
              <w:rPr>
                <w:rFonts w:cs="Arial"/>
                <w:sz w:val="20"/>
                <w:szCs w:val="20"/>
                <w:lang w:val="fi-FI"/>
              </w:rPr>
              <w:t>3. Jokaisella lapsella on oikeus ylläpitää henkilökohtaisia suhteita ja suoria yhteyksiä kumpaankin vanhempaansa säännöllisesti, jollei se ole lapsen edun vastaista.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25</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Ikääntyneiden henkilöiden oikeudet</w:t>
            </w:r>
          </w:p>
          <w:p w:rsidR="00911002" w:rsidRPr="00C92A04" w:rsidRDefault="00911002" w:rsidP="00F942CC">
            <w:pPr>
              <w:keepNext/>
              <w:keepLines/>
              <w:rPr>
                <w:rFonts w:cs="Arial"/>
                <w:sz w:val="20"/>
                <w:szCs w:val="20"/>
                <w:lang w:val="fi-FI"/>
              </w:rPr>
            </w:pPr>
            <w:r w:rsidRPr="00C92A04">
              <w:rPr>
                <w:rFonts w:cs="Arial"/>
                <w:sz w:val="20"/>
                <w:szCs w:val="20"/>
                <w:lang w:val="fi-FI"/>
              </w:rPr>
              <w:lastRenderedPageBreak/>
              <w:t>Unioni tunnustaa ikääntyneiden henkilöiden oikeuden ihmisarvoiseen ja itsenäiseen elämään sekä oikeuden osallistua yhteiskunnalliseen elämään ja kulttuurielämään, ja kunnioittaa näitä oikeuksia.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26</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Vammaisten sopeutuminen yhteiskuntaan</w:t>
            </w:r>
          </w:p>
          <w:p w:rsidR="00911002" w:rsidRPr="00C92A04" w:rsidRDefault="00911002" w:rsidP="00F942CC">
            <w:pPr>
              <w:keepNext/>
              <w:keepLines/>
              <w:rPr>
                <w:rFonts w:cs="Arial"/>
                <w:sz w:val="20"/>
                <w:szCs w:val="20"/>
                <w:lang w:val="fi-FI"/>
              </w:rPr>
            </w:pPr>
            <w:r w:rsidRPr="00C92A04">
              <w:rPr>
                <w:rFonts w:cs="Arial"/>
                <w:sz w:val="20"/>
                <w:szCs w:val="20"/>
                <w:lang w:val="fi-FI"/>
              </w:rPr>
              <w:t>Unioni tunnustaa vammaisten oikeuden päästä osallisiksi toimenpiteistä, joilla edistetään heidän itsenäistä elämäänsä, yhteiskunnallista ja ammatillista sopeutumistaan sekä osallistumistaan yhteiskuntaelämään, ja kunnioittaa tätä oikeutta.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restart"/>
            <w:textDirection w:val="btLr"/>
            <w:vAlign w:val="center"/>
          </w:tcPr>
          <w:p w:rsidR="00911002" w:rsidRPr="00C92A04" w:rsidRDefault="00707652" w:rsidP="00F942CC">
            <w:pPr>
              <w:ind w:left="113" w:right="113"/>
              <w:jc w:val="center"/>
              <w:rPr>
                <w:rFonts w:cs="Arial"/>
                <w:sz w:val="20"/>
                <w:szCs w:val="20"/>
                <w:lang w:val="fi-FI"/>
              </w:rPr>
            </w:pPr>
            <w:r w:rsidRPr="00C92A04">
              <w:rPr>
                <w:rFonts w:cs="Arial"/>
                <w:sz w:val="20"/>
                <w:szCs w:val="20"/>
                <w:lang w:val="fi-FI"/>
              </w:rPr>
              <w:t xml:space="preserve">IV </w:t>
            </w:r>
            <w:r w:rsidR="00911002" w:rsidRPr="00C92A04">
              <w:rPr>
                <w:rFonts w:cs="Arial"/>
                <w:sz w:val="20"/>
                <w:szCs w:val="20"/>
                <w:lang w:val="fi-FI"/>
              </w:rPr>
              <w:t>YHTEISVASTUU</w:t>
            </w: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27</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Työntekijöiden oikeus saada tietoja ja tulla kuulluksi yrityksessä</w:t>
            </w:r>
          </w:p>
          <w:p w:rsidR="00911002" w:rsidRPr="00C92A04" w:rsidRDefault="00911002" w:rsidP="00F942CC">
            <w:pPr>
              <w:keepNext/>
              <w:keepLines/>
              <w:rPr>
                <w:rFonts w:cs="Arial"/>
                <w:sz w:val="20"/>
                <w:szCs w:val="20"/>
                <w:lang w:val="fi-FI"/>
              </w:rPr>
            </w:pPr>
            <w:r w:rsidRPr="00C92A04">
              <w:rPr>
                <w:rFonts w:cs="Arial"/>
                <w:sz w:val="20"/>
                <w:szCs w:val="20"/>
                <w:lang w:val="fi-FI"/>
              </w:rPr>
              <w:t>Työntekijöille tai heidän edustajilleen on asianmukaisilla tasoilla taattava mahdollisuus saada riittävän ajoissa tietoa ja tulla kuulluksi yhteisön oikeuden sekä kansallisten lainsäädäntöjen ja käytäntöjen mukaisissa</w:t>
            </w:r>
          </w:p>
          <w:p w:rsidR="00911002" w:rsidRPr="00C92A04" w:rsidRDefault="00911002" w:rsidP="00F942CC">
            <w:pPr>
              <w:keepNext/>
              <w:keepLines/>
              <w:rPr>
                <w:rFonts w:cs="Arial"/>
                <w:sz w:val="20"/>
                <w:szCs w:val="20"/>
                <w:lang w:val="fi-FI"/>
              </w:rPr>
            </w:pPr>
            <w:r w:rsidRPr="00C92A04">
              <w:rPr>
                <w:rFonts w:cs="Arial"/>
                <w:sz w:val="20"/>
                <w:szCs w:val="20"/>
                <w:lang w:val="fi-FI"/>
              </w:rPr>
              <w:t>tapauksissa ja niissä määrätyin edellytyksin.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28</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Neuvotteluoikeus ja oikeus yhteisiin toimiin</w:t>
            </w:r>
          </w:p>
          <w:p w:rsidR="00911002" w:rsidRPr="00C92A04" w:rsidRDefault="00911002" w:rsidP="00F942CC">
            <w:pPr>
              <w:keepNext/>
              <w:keepLines/>
              <w:rPr>
                <w:rFonts w:cs="Arial"/>
                <w:sz w:val="20"/>
                <w:szCs w:val="20"/>
                <w:lang w:val="fi-FI"/>
              </w:rPr>
            </w:pPr>
            <w:r w:rsidRPr="00C92A04">
              <w:rPr>
                <w:rFonts w:cs="Arial"/>
                <w:sz w:val="20"/>
                <w:szCs w:val="20"/>
                <w:lang w:val="fi-FI"/>
              </w:rPr>
              <w:t>Työntekijöillä ja työnantajilla tai näiden järjestöillä on yhteisön oikeuden sekä kansallisten lainsäädäntöjen ja käytäntöjen mukaisesti oikeus asianmukaisilla tasoilla neuvotella ja tehdä työ- ja virkaehtosopimuksia sekä oikeus ryhtyä eturistiriitatilanteissa etujensa puolustamiseksi yhteistoimiin, lakko mukaan lukien.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29</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Oikeus työhönsijoituspalveluihin</w:t>
            </w:r>
          </w:p>
          <w:p w:rsidR="00911002" w:rsidRPr="00C92A04" w:rsidRDefault="00911002" w:rsidP="00F942CC">
            <w:pPr>
              <w:keepNext/>
              <w:keepLines/>
              <w:rPr>
                <w:rFonts w:cs="Arial"/>
                <w:sz w:val="20"/>
                <w:szCs w:val="20"/>
                <w:lang w:val="fi-FI"/>
              </w:rPr>
            </w:pPr>
            <w:r w:rsidRPr="00C92A04">
              <w:rPr>
                <w:rFonts w:cs="Arial"/>
                <w:sz w:val="20"/>
                <w:szCs w:val="20"/>
                <w:lang w:val="fi-FI"/>
              </w:rPr>
              <w:t>Jokaisella on oikeus maksuttomiin työhönsijoituspalveluihin.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30</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Suoja perusteettoman irtisanomisen yhteydessä</w:t>
            </w:r>
          </w:p>
          <w:p w:rsidR="00911002" w:rsidRPr="00C92A04" w:rsidRDefault="00911002" w:rsidP="00F942CC">
            <w:pPr>
              <w:keepNext/>
              <w:keepLines/>
              <w:rPr>
                <w:rFonts w:cs="Arial"/>
                <w:sz w:val="20"/>
                <w:szCs w:val="20"/>
                <w:lang w:val="fi-FI"/>
              </w:rPr>
            </w:pPr>
            <w:r w:rsidRPr="00C92A04">
              <w:rPr>
                <w:rFonts w:cs="Arial"/>
                <w:sz w:val="20"/>
                <w:szCs w:val="20"/>
                <w:lang w:val="fi-FI"/>
              </w:rPr>
              <w:t>Jokaisella työntekijällä on oikeus suojaan perusteettomalta irtisanomiselta yhteisön oikeuden sekä kansallisten lainsäädäntöjen ja käytäntöjen mukaisesti.</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31</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Oikeudenmukaiset ja kohtuulliset työolot ja työehdot</w:t>
            </w:r>
          </w:p>
          <w:p w:rsidR="00911002" w:rsidRPr="00C92A04" w:rsidRDefault="00911002" w:rsidP="00F942CC">
            <w:pPr>
              <w:keepNext/>
              <w:keepLines/>
              <w:rPr>
                <w:rFonts w:cs="Arial"/>
                <w:sz w:val="20"/>
                <w:szCs w:val="20"/>
                <w:lang w:val="fi-FI"/>
              </w:rPr>
            </w:pPr>
            <w:r w:rsidRPr="00C92A04">
              <w:rPr>
                <w:rFonts w:cs="Arial"/>
                <w:sz w:val="20"/>
                <w:szCs w:val="20"/>
                <w:lang w:val="fi-FI"/>
              </w:rPr>
              <w:t>1. Jokaisella työntekijällä on oikeus sellaisiin työoloihin, jotka ovat hänen terveytensä, turvallisuutensa ja ihmisarvonsa mukaisia.</w:t>
            </w:r>
          </w:p>
          <w:p w:rsidR="00911002" w:rsidRPr="00C92A04" w:rsidRDefault="00911002" w:rsidP="00F942CC">
            <w:pPr>
              <w:keepNext/>
              <w:keepLines/>
              <w:rPr>
                <w:rFonts w:cs="Arial"/>
                <w:sz w:val="20"/>
                <w:szCs w:val="20"/>
                <w:lang w:val="fi-FI"/>
              </w:rPr>
            </w:pPr>
            <w:r w:rsidRPr="00C92A04">
              <w:rPr>
                <w:rFonts w:cs="Arial"/>
                <w:sz w:val="20"/>
                <w:szCs w:val="20"/>
                <w:lang w:val="fi-FI"/>
              </w:rPr>
              <w:t>2. Jokaisella työntekijällä on oikeus enimmäistyöajan rajoitukseen sekä päivittäisiin ja viikoittaisiin lepojaksoihin ja palkalliseen vuosilomakauteen.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32</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Lapsityövoiman käytön kielto ja nuorten suojelu työssä</w:t>
            </w:r>
          </w:p>
          <w:p w:rsidR="00911002" w:rsidRPr="00C92A04" w:rsidRDefault="00911002" w:rsidP="00F942CC">
            <w:pPr>
              <w:keepNext/>
              <w:keepLines/>
              <w:rPr>
                <w:rFonts w:cs="Arial"/>
                <w:sz w:val="20"/>
                <w:szCs w:val="20"/>
                <w:lang w:val="fi-FI"/>
              </w:rPr>
            </w:pPr>
            <w:r w:rsidRPr="00C92A04">
              <w:rPr>
                <w:rFonts w:cs="Arial"/>
                <w:sz w:val="20"/>
                <w:szCs w:val="20"/>
                <w:lang w:val="fi-FI"/>
              </w:rPr>
              <w:t>Lapsityövoiman käyttö on kielletty. Työhönpääsemiseksi vaadittava vähimmäisikä ei saa olla alempi kuin ikä, jolloin oppivelvollisuus päättyy, sanotun kuitenkaan rajoittamatta nuorille suotuisampien sääntöjen</w:t>
            </w:r>
            <w:r w:rsidR="00F942CC" w:rsidRPr="00C92A04">
              <w:rPr>
                <w:rFonts w:cs="Arial"/>
                <w:sz w:val="20"/>
                <w:szCs w:val="20"/>
                <w:lang w:val="fi-FI"/>
              </w:rPr>
              <w:t xml:space="preserve"> </w:t>
            </w:r>
            <w:r w:rsidRPr="00C92A04">
              <w:rPr>
                <w:rFonts w:cs="Arial"/>
                <w:sz w:val="20"/>
                <w:szCs w:val="20"/>
                <w:lang w:val="fi-FI"/>
              </w:rPr>
              <w:t>soveltamista ja tiettyjä poikkeuksia.</w:t>
            </w:r>
            <w:r w:rsidR="00F942CC" w:rsidRPr="00C92A04">
              <w:rPr>
                <w:rFonts w:cs="Arial"/>
                <w:sz w:val="20"/>
                <w:szCs w:val="20"/>
                <w:lang w:val="fi-FI"/>
              </w:rPr>
              <w:t xml:space="preserve"> </w:t>
            </w:r>
            <w:r w:rsidRPr="00C92A04">
              <w:rPr>
                <w:rFonts w:cs="Arial"/>
                <w:sz w:val="20"/>
                <w:szCs w:val="20"/>
                <w:lang w:val="fi-FI"/>
              </w:rPr>
              <w:t>Työhön otetuille nuorille on annettava heidän ikänsä mukaiset työehdot ja heitä on suojeltava taloudelliselta hyväksikäytöltä ja työltä, joka saattaisi vahingoittaa heidän turvallisuuttaan, terveyttään tai fyysistä, henkistä, moraalista tai sosiaalista kehitystään tai haitata heidän koulutustaan.</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33</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Perhe- ja työelämä</w:t>
            </w:r>
          </w:p>
          <w:p w:rsidR="00911002" w:rsidRPr="00C92A04" w:rsidRDefault="00911002" w:rsidP="00F942CC">
            <w:pPr>
              <w:keepNext/>
              <w:keepLines/>
              <w:rPr>
                <w:rFonts w:cs="Arial"/>
                <w:sz w:val="20"/>
                <w:szCs w:val="20"/>
                <w:lang w:val="fi-FI"/>
              </w:rPr>
            </w:pPr>
            <w:r w:rsidRPr="00C92A04">
              <w:rPr>
                <w:rFonts w:cs="Arial"/>
                <w:sz w:val="20"/>
                <w:szCs w:val="20"/>
                <w:lang w:val="fi-FI"/>
              </w:rPr>
              <w:t>1. Perheen oikeudellinen, taloudellinen ja yhteiskunnallinen suoja varmistetaan.</w:t>
            </w:r>
          </w:p>
          <w:p w:rsidR="00911002" w:rsidRPr="00C92A04" w:rsidRDefault="00911002" w:rsidP="00F942CC">
            <w:pPr>
              <w:keepNext/>
              <w:keepLines/>
              <w:rPr>
                <w:rFonts w:cs="Arial"/>
                <w:sz w:val="20"/>
                <w:szCs w:val="20"/>
                <w:lang w:val="fi-FI"/>
              </w:rPr>
            </w:pPr>
            <w:r w:rsidRPr="00C92A04">
              <w:rPr>
                <w:rFonts w:cs="Arial"/>
                <w:sz w:val="20"/>
                <w:szCs w:val="20"/>
                <w:lang w:val="fi-FI"/>
              </w:rPr>
              <w:t>2. Voidakseen sovittaa yhteen perhe- ja työelämänsä jokaisella on oikeus suojaan irtisanomiselta raskauteen ja synnytykseen liittyvän syyn vuoksi sekä oikeus vanhempainlomaan ja palkalliseen äitiyslomaan lapsen syntymän tai lapseksiottamisen yhteydessä.</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34</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Sosiaaliturva ja sosiaalituki</w:t>
            </w:r>
          </w:p>
          <w:p w:rsidR="00911002" w:rsidRPr="00C92A04" w:rsidRDefault="00911002" w:rsidP="00F942CC">
            <w:pPr>
              <w:keepNext/>
              <w:keepLines/>
              <w:rPr>
                <w:rFonts w:cs="Arial"/>
                <w:sz w:val="20"/>
                <w:szCs w:val="20"/>
                <w:lang w:val="fi-FI"/>
              </w:rPr>
            </w:pPr>
            <w:r w:rsidRPr="00C92A04">
              <w:rPr>
                <w:rFonts w:cs="Arial"/>
                <w:sz w:val="20"/>
                <w:szCs w:val="20"/>
                <w:lang w:val="fi-FI"/>
              </w:rPr>
              <w:lastRenderedPageBreak/>
              <w:t>1. Unioni tunnustaa oikeuden sosiaaliturvaetuuksiin ja sosiaalipalveluihin, joilla taataan suoja muun muassa raskauden ja synnytyksen aikana ja sairauden, työtapaturman, hoidon tarpeen ja vanhuuden</w:t>
            </w:r>
          </w:p>
          <w:p w:rsidR="00911002" w:rsidRPr="00C92A04" w:rsidRDefault="00911002" w:rsidP="00F942CC">
            <w:pPr>
              <w:keepNext/>
              <w:keepLines/>
              <w:rPr>
                <w:rFonts w:cs="Arial"/>
                <w:sz w:val="20"/>
                <w:szCs w:val="20"/>
                <w:lang w:val="fi-FI"/>
              </w:rPr>
            </w:pPr>
            <w:r w:rsidRPr="00C92A04">
              <w:rPr>
                <w:rFonts w:cs="Arial"/>
                <w:sz w:val="20"/>
                <w:szCs w:val="20"/>
                <w:lang w:val="fi-FI"/>
              </w:rPr>
              <w:t>varalta sekä työpaikan menetyksen yhteydessä yhteisön oikeuden sekä kansallisten lainsäädäntöjen ja käytäntöjen mukaisesti, sekä kunnioittaa tätä oikeutta.</w:t>
            </w:r>
          </w:p>
          <w:p w:rsidR="00911002" w:rsidRPr="00C92A04" w:rsidRDefault="00911002" w:rsidP="00F942CC">
            <w:pPr>
              <w:keepNext/>
              <w:keepLines/>
              <w:rPr>
                <w:rFonts w:cs="Arial"/>
                <w:sz w:val="20"/>
                <w:szCs w:val="20"/>
                <w:lang w:val="fi-FI"/>
              </w:rPr>
            </w:pPr>
            <w:r w:rsidRPr="00C92A04">
              <w:rPr>
                <w:rFonts w:cs="Arial"/>
                <w:sz w:val="20"/>
                <w:szCs w:val="20"/>
                <w:lang w:val="fi-FI"/>
              </w:rPr>
              <w:t>2. Jokaisella, jolla on asuinpaikka unionissa ja siellä laillisesti liikkuvalla on oikeus sosiaaliturvaetuuksiin ja sosiaalisiin etuihin yhteisön oikeuden ja kansallisten lainsäädäntöjen ja käytäntöjen mukaisesti.</w:t>
            </w:r>
          </w:p>
          <w:p w:rsidR="00911002" w:rsidRPr="00C92A04" w:rsidRDefault="00911002" w:rsidP="00F942CC">
            <w:pPr>
              <w:keepNext/>
              <w:keepLines/>
              <w:rPr>
                <w:rFonts w:cs="Arial"/>
                <w:sz w:val="20"/>
                <w:szCs w:val="20"/>
                <w:lang w:val="fi-FI"/>
              </w:rPr>
            </w:pPr>
            <w:r w:rsidRPr="00C92A04">
              <w:rPr>
                <w:rFonts w:cs="Arial"/>
                <w:sz w:val="20"/>
                <w:szCs w:val="20"/>
                <w:lang w:val="fi-FI"/>
              </w:rPr>
              <w:t>3. Yhteiskunnallisen syrjäytymisen ja köyhyyden torjumiseksi unioni tunnustaa oikeuden sosiaalitukeen ja asumistukeen tai sosiaalisesti tuettuun asuntoon ihmisarvoisen elämän varmistamiseksi jokaiselle, jolla ei ole riittäviä varoja, yhteisön oikeuden ja kansallisten lainsäädäntöjen ja käytäntöjen mukaisesti, sekä kunnioittaa tätä oikeutta.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35</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Terveyden suojelu</w:t>
            </w:r>
          </w:p>
          <w:p w:rsidR="00911002" w:rsidRPr="00C92A04" w:rsidRDefault="00911002" w:rsidP="00F942CC">
            <w:pPr>
              <w:keepNext/>
              <w:keepLines/>
              <w:rPr>
                <w:rFonts w:cs="Arial"/>
                <w:sz w:val="20"/>
                <w:szCs w:val="20"/>
                <w:lang w:val="fi-FI"/>
              </w:rPr>
            </w:pPr>
            <w:r w:rsidRPr="00C92A04">
              <w:rPr>
                <w:rFonts w:cs="Arial"/>
                <w:sz w:val="20"/>
                <w:szCs w:val="20"/>
                <w:lang w:val="fi-FI"/>
              </w:rPr>
              <w:t>Jokaisella on oikeus saada ehkäisevää terveydenhoitoa ja lääkinnällistä hoitoa kansallisen lainsäädännön ja kansallisten käytäntöjen mukaisin edellytyksin. Ihmisten terveyden korkeatasoinen suojelu varmistetaan kaikkien unionin politiikkojen ja toimintojen määrittelyssä ja toteuttamisessa.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36</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Mahdollisuus käyttää yleistä taloudellista etua koskevia palveluja</w:t>
            </w:r>
          </w:p>
          <w:p w:rsidR="00911002" w:rsidRPr="00C92A04" w:rsidRDefault="00911002" w:rsidP="00F942CC">
            <w:pPr>
              <w:keepNext/>
              <w:keepLines/>
              <w:rPr>
                <w:rFonts w:cs="Arial"/>
                <w:sz w:val="20"/>
                <w:szCs w:val="20"/>
                <w:lang w:val="fi-FI"/>
              </w:rPr>
            </w:pPr>
            <w:r w:rsidRPr="00C92A04">
              <w:rPr>
                <w:rFonts w:cs="Arial"/>
                <w:sz w:val="20"/>
                <w:szCs w:val="20"/>
                <w:lang w:val="fi-FI"/>
              </w:rPr>
              <w:t>Edistääkseen unionin sosiaalista ja alueellista yhteenkuuluvuutta unioni tunnustaa mahdollisuuden käyttää kansallisten lainsäädäntöjen ja käytäntöjen mukaisia yleistä taloudellista etua koskevia palveluja Euroopan yhteisön perustamissopimuksen mukaisesti, sekä kunnioittaa tätä oikeutta.</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37</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Ympäristönsuojelu</w:t>
            </w:r>
          </w:p>
          <w:p w:rsidR="00911002" w:rsidRPr="00C92A04" w:rsidRDefault="00911002" w:rsidP="00F942CC">
            <w:pPr>
              <w:keepNext/>
              <w:keepLines/>
              <w:rPr>
                <w:rFonts w:cs="Arial"/>
                <w:sz w:val="20"/>
                <w:szCs w:val="20"/>
                <w:lang w:val="fi-FI"/>
              </w:rPr>
            </w:pPr>
            <w:r w:rsidRPr="00C92A04">
              <w:rPr>
                <w:rFonts w:cs="Arial"/>
                <w:sz w:val="20"/>
                <w:szCs w:val="20"/>
                <w:lang w:val="fi-FI"/>
              </w:rPr>
              <w:t>Ympäristönsuojelun korkea taso ja ympäristön laadun parantaminen on sisällytettävä unionin politiikkoihin ja varmistettava kestävän kehityksen periaatteen mukaisesti.</w:t>
            </w:r>
          </w:p>
        </w:tc>
        <w:tc>
          <w:tcPr>
            <w:tcW w:w="1926" w:type="pct"/>
          </w:tcPr>
          <w:p w:rsidR="00911002" w:rsidRPr="00C92A04" w:rsidRDefault="00911002">
            <w:pPr>
              <w:rPr>
                <w:rFonts w:cs="Arial"/>
                <w:sz w:val="20"/>
                <w:szCs w:val="20"/>
                <w:lang w:val="fi-FI"/>
              </w:rPr>
            </w:pPr>
          </w:p>
        </w:tc>
      </w:tr>
      <w:tr w:rsidR="00F942CC" w:rsidRPr="00C92A04" w:rsidTr="00C92A04">
        <w:tc>
          <w:tcPr>
            <w:tcW w:w="215" w:type="pct"/>
            <w:vMerge/>
            <w:vAlign w:val="center"/>
          </w:tcPr>
          <w:p w:rsidR="00911002" w:rsidRPr="00C92A04" w:rsidRDefault="00911002" w:rsidP="00F942CC">
            <w:pPr>
              <w:jc w:val="center"/>
              <w:rPr>
                <w:rFonts w:cs="Arial"/>
                <w:sz w:val="20"/>
                <w:szCs w:val="20"/>
                <w:lang w:val="fi-FI"/>
              </w:rPr>
            </w:pPr>
          </w:p>
        </w:tc>
        <w:tc>
          <w:tcPr>
            <w:tcW w:w="269" w:type="pct"/>
            <w:vAlign w:val="center"/>
          </w:tcPr>
          <w:p w:rsidR="00911002" w:rsidRPr="00C92A04" w:rsidRDefault="00911002" w:rsidP="00F942CC">
            <w:pPr>
              <w:jc w:val="center"/>
              <w:rPr>
                <w:rFonts w:cs="Arial"/>
                <w:sz w:val="20"/>
                <w:szCs w:val="20"/>
                <w:lang w:val="fi-FI"/>
              </w:rPr>
            </w:pPr>
            <w:r w:rsidRPr="00C92A04">
              <w:rPr>
                <w:rFonts w:cs="Arial"/>
                <w:sz w:val="20"/>
                <w:szCs w:val="20"/>
                <w:lang w:val="fi-FI"/>
              </w:rPr>
              <w:t>38</w:t>
            </w:r>
          </w:p>
        </w:tc>
        <w:tc>
          <w:tcPr>
            <w:tcW w:w="2590" w:type="pct"/>
          </w:tcPr>
          <w:p w:rsidR="00911002" w:rsidRPr="00C92A04" w:rsidRDefault="00911002" w:rsidP="00F942CC">
            <w:pPr>
              <w:keepNext/>
              <w:keepLines/>
              <w:rPr>
                <w:rFonts w:cs="Arial"/>
                <w:b/>
                <w:sz w:val="20"/>
                <w:szCs w:val="20"/>
                <w:lang w:val="fi-FI"/>
              </w:rPr>
            </w:pPr>
            <w:r w:rsidRPr="00C92A04">
              <w:rPr>
                <w:rFonts w:cs="Arial"/>
                <w:b/>
                <w:sz w:val="20"/>
                <w:szCs w:val="20"/>
                <w:lang w:val="fi-FI"/>
              </w:rPr>
              <w:t>Kuluttajansuoja</w:t>
            </w:r>
          </w:p>
          <w:p w:rsidR="00911002" w:rsidRPr="00C92A04" w:rsidRDefault="00911002" w:rsidP="00F942CC">
            <w:pPr>
              <w:keepNext/>
              <w:keepLines/>
              <w:rPr>
                <w:rFonts w:cs="Arial"/>
                <w:sz w:val="20"/>
                <w:szCs w:val="20"/>
                <w:lang w:val="fi-FI"/>
              </w:rPr>
            </w:pPr>
            <w:r w:rsidRPr="00C92A04">
              <w:rPr>
                <w:rFonts w:cs="Arial"/>
                <w:sz w:val="20"/>
                <w:szCs w:val="20"/>
                <w:lang w:val="fi-FI"/>
              </w:rPr>
              <w:t>Unionin politiikoissa varmistetaan kuluttajansuojan korkea taso.</w:t>
            </w:r>
          </w:p>
        </w:tc>
        <w:tc>
          <w:tcPr>
            <w:tcW w:w="1926" w:type="pct"/>
          </w:tcPr>
          <w:p w:rsidR="00911002" w:rsidRPr="00C92A04" w:rsidRDefault="00911002">
            <w:pPr>
              <w:rPr>
                <w:rFonts w:cs="Arial"/>
                <w:sz w:val="20"/>
                <w:szCs w:val="20"/>
                <w:lang w:val="fi-FI"/>
              </w:rPr>
            </w:pPr>
          </w:p>
        </w:tc>
      </w:tr>
      <w:tr w:rsidR="00F942CC" w:rsidRPr="00C92A04" w:rsidTr="00C92A04">
        <w:trPr>
          <w:cantSplit/>
          <w:trHeight w:val="1134"/>
        </w:trPr>
        <w:tc>
          <w:tcPr>
            <w:tcW w:w="215" w:type="pct"/>
            <w:vMerge w:val="restart"/>
            <w:textDirection w:val="btLr"/>
            <w:vAlign w:val="center"/>
          </w:tcPr>
          <w:p w:rsidR="00062F0E" w:rsidRPr="00C92A04" w:rsidRDefault="00062F0E" w:rsidP="00F942CC">
            <w:pPr>
              <w:ind w:left="113" w:right="113"/>
              <w:jc w:val="center"/>
              <w:rPr>
                <w:rFonts w:cs="Arial"/>
                <w:sz w:val="20"/>
                <w:szCs w:val="20"/>
                <w:lang w:val="fi-FI"/>
              </w:rPr>
            </w:pPr>
            <w:r w:rsidRPr="00C92A04">
              <w:rPr>
                <w:rFonts w:cs="Arial"/>
                <w:sz w:val="20"/>
                <w:szCs w:val="20"/>
                <w:lang w:val="fi-FI"/>
              </w:rPr>
              <w:t>V KANSALAISTEN OIKEUDET</w:t>
            </w: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39</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Äänioikeus ja vaalikelpoisuus Euroopan parlamentin vaaleissa</w:t>
            </w:r>
          </w:p>
          <w:p w:rsidR="00062F0E" w:rsidRPr="00C92A04" w:rsidRDefault="00062F0E" w:rsidP="00F942CC">
            <w:pPr>
              <w:keepNext/>
              <w:keepLines/>
              <w:rPr>
                <w:rFonts w:cs="Arial"/>
                <w:sz w:val="20"/>
                <w:szCs w:val="20"/>
                <w:lang w:val="fi-FI"/>
              </w:rPr>
            </w:pPr>
            <w:r w:rsidRPr="00C92A04">
              <w:rPr>
                <w:rFonts w:cs="Arial"/>
                <w:sz w:val="20"/>
                <w:szCs w:val="20"/>
                <w:lang w:val="fi-FI"/>
              </w:rPr>
              <w:t>1. Jokaisella unionin kansalaisella on äänioikeus ja vaalikelpoisuus Euroopan parlamentin vaaleissa siinä jäsenvaltiossa, jossa hän asuu, samoin edellytyksin kuin kyseisen jäsenvaltion omilla kansalaisilla.</w:t>
            </w:r>
          </w:p>
          <w:p w:rsidR="00062F0E" w:rsidRPr="00C92A04" w:rsidRDefault="00062F0E" w:rsidP="00F942CC">
            <w:pPr>
              <w:keepNext/>
              <w:keepLines/>
              <w:rPr>
                <w:rFonts w:cs="Arial"/>
                <w:sz w:val="20"/>
                <w:szCs w:val="20"/>
                <w:lang w:val="fi-FI"/>
              </w:rPr>
            </w:pPr>
            <w:r w:rsidRPr="00C92A04">
              <w:rPr>
                <w:rFonts w:cs="Arial"/>
                <w:sz w:val="20"/>
                <w:szCs w:val="20"/>
                <w:lang w:val="fi-FI"/>
              </w:rPr>
              <w:t>2. Euroopan parlamentin jäsenet valitaan yleisillä, välittömillä, vapailla ja salaisilla vaaleilla.</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40</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Äänioikeus ja vaalikelpoisuus kunnallisvaaleissa</w:t>
            </w:r>
          </w:p>
          <w:p w:rsidR="00062F0E" w:rsidRPr="00C92A04" w:rsidRDefault="00062F0E" w:rsidP="00F942CC">
            <w:pPr>
              <w:keepNext/>
              <w:keepLines/>
              <w:rPr>
                <w:rFonts w:cs="Arial"/>
                <w:sz w:val="20"/>
                <w:szCs w:val="20"/>
                <w:lang w:val="fi-FI"/>
              </w:rPr>
            </w:pPr>
            <w:r w:rsidRPr="00C92A04">
              <w:rPr>
                <w:rFonts w:cs="Arial"/>
                <w:sz w:val="20"/>
                <w:szCs w:val="20"/>
                <w:lang w:val="fi-FI"/>
              </w:rPr>
              <w:t>Jokaisella unionin kansalaisella on äänioikeus ja vaalikelpoisuus kunnallisvaaleissa siinä jäsenvaltiossa, jossa hän asuu, samoin edellytyksin kuin kyseisen jäsenvaltion omilla kansalaisilla.</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41</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Oikeus hyvään hallintoon</w:t>
            </w:r>
          </w:p>
          <w:p w:rsidR="00062F0E" w:rsidRPr="00C92A04" w:rsidRDefault="00062F0E" w:rsidP="00F942CC">
            <w:pPr>
              <w:keepNext/>
              <w:keepLines/>
              <w:rPr>
                <w:rFonts w:cs="Arial"/>
                <w:sz w:val="20"/>
                <w:szCs w:val="20"/>
                <w:lang w:val="fi-FI"/>
              </w:rPr>
            </w:pPr>
            <w:r w:rsidRPr="00C92A04">
              <w:rPr>
                <w:rFonts w:cs="Arial"/>
                <w:sz w:val="20"/>
                <w:szCs w:val="20"/>
                <w:lang w:val="fi-FI"/>
              </w:rPr>
              <w:t>1. Jokaisella on oikeus siihen, että unionin toimielimet ja laitokset käsittelevät hänen asiansa puolueettomasti, oikeudenmukaisesti ja kohtuullisessa ajassa.</w:t>
            </w:r>
          </w:p>
          <w:p w:rsidR="00062F0E" w:rsidRPr="00C92A04" w:rsidRDefault="00062F0E" w:rsidP="00F942CC">
            <w:pPr>
              <w:keepNext/>
              <w:keepLines/>
              <w:rPr>
                <w:rFonts w:cs="Arial"/>
                <w:sz w:val="20"/>
                <w:szCs w:val="20"/>
                <w:lang w:val="fi-FI"/>
              </w:rPr>
            </w:pPr>
            <w:r w:rsidRPr="00C92A04">
              <w:rPr>
                <w:rFonts w:cs="Arial"/>
                <w:sz w:val="20"/>
                <w:szCs w:val="20"/>
                <w:lang w:val="fi-FI"/>
              </w:rPr>
              <w:t>2. Tähän oikeuteen sisältyy erityisesti:</w:t>
            </w:r>
          </w:p>
          <w:p w:rsidR="00062F0E" w:rsidRPr="00C92A04" w:rsidRDefault="00062F0E" w:rsidP="00F942CC">
            <w:pPr>
              <w:pStyle w:val="Luettelokappale"/>
              <w:keepNext/>
              <w:keepLines/>
              <w:numPr>
                <w:ilvl w:val="0"/>
                <w:numId w:val="2"/>
              </w:numPr>
              <w:rPr>
                <w:rFonts w:cs="Arial"/>
                <w:sz w:val="20"/>
                <w:szCs w:val="20"/>
                <w:lang w:val="fi-FI"/>
              </w:rPr>
            </w:pPr>
            <w:r w:rsidRPr="00C92A04">
              <w:rPr>
                <w:rFonts w:cs="Arial"/>
                <w:sz w:val="20"/>
                <w:szCs w:val="20"/>
                <w:lang w:val="fi-FI"/>
              </w:rPr>
              <w:t xml:space="preserve">jokaisen oikeus tulla kuulluksi ennen kuin häntä vastaan ryhdytään yksittäiseen </w:t>
            </w:r>
            <w:bookmarkStart w:id="0" w:name="_GoBack"/>
            <w:bookmarkEnd w:id="0"/>
            <w:r w:rsidRPr="00C92A04">
              <w:rPr>
                <w:rFonts w:cs="Arial"/>
                <w:sz w:val="20"/>
                <w:szCs w:val="20"/>
                <w:lang w:val="fi-FI"/>
              </w:rPr>
              <w:lastRenderedPageBreak/>
              <w:t>toimenpiteeseen, joka vaikuttaisi häneen epäedullisesti,</w:t>
            </w:r>
          </w:p>
          <w:p w:rsidR="00062F0E" w:rsidRPr="00C92A04" w:rsidRDefault="00062F0E" w:rsidP="00F942CC">
            <w:pPr>
              <w:pStyle w:val="Luettelokappale"/>
              <w:keepNext/>
              <w:keepLines/>
              <w:numPr>
                <w:ilvl w:val="0"/>
                <w:numId w:val="2"/>
              </w:numPr>
              <w:rPr>
                <w:rFonts w:cs="Arial"/>
                <w:sz w:val="20"/>
                <w:szCs w:val="20"/>
                <w:lang w:val="fi-FI"/>
              </w:rPr>
            </w:pPr>
            <w:r w:rsidRPr="00C92A04">
              <w:rPr>
                <w:rFonts w:cs="Arial"/>
                <w:sz w:val="20"/>
                <w:szCs w:val="20"/>
                <w:lang w:val="fi-FI"/>
              </w:rPr>
              <w:t>jokaisen oikeus tutustua häntä koskeviin asiakirjoihin ottaen huomioon oikeutetun luottamuksellisuuden, salassapitovelvollisuuden ja liikesalaisuuden vaatimukset,</w:t>
            </w:r>
          </w:p>
          <w:p w:rsidR="00062F0E" w:rsidRPr="00C92A04" w:rsidRDefault="00062F0E" w:rsidP="00F942CC">
            <w:pPr>
              <w:pStyle w:val="Luettelokappale"/>
              <w:keepNext/>
              <w:keepLines/>
              <w:numPr>
                <w:ilvl w:val="0"/>
                <w:numId w:val="2"/>
              </w:numPr>
              <w:rPr>
                <w:rFonts w:cs="Arial"/>
                <w:sz w:val="20"/>
                <w:szCs w:val="20"/>
                <w:lang w:val="fi-FI"/>
              </w:rPr>
            </w:pPr>
            <w:r w:rsidRPr="00C92A04">
              <w:rPr>
                <w:rFonts w:cs="Arial"/>
                <w:sz w:val="20"/>
                <w:szCs w:val="20"/>
                <w:lang w:val="fi-FI"/>
              </w:rPr>
              <w:t>hallintoelinten velvoite perustella päätöksensä.</w:t>
            </w:r>
          </w:p>
          <w:p w:rsidR="00062F0E" w:rsidRPr="00C92A04" w:rsidRDefault="00062F0E" w:rsidP="00F942CC">
            <w:pPr>
              <w:keepNext/>
              <w:keepLines/>
              <w:rPr>
                <w:rFonts w:cs="Arial"/>
                <w:sz w:val="20"/>
                <w:szCs w:val="20"/>
                <w:lang w:val="fi-FI"/>
              </w:rPr>
            </w:pPr>
            <w:r w:rsidRPr="00C92A04">
              <w:rPr>
                <w:rFonts w:cs="Arial"/>
                <w:sz w:val="20"/>
                <w:szCs w:val="20"/>
                <w:lang w:val="fi-FI"/>
              </w:rPr>
              <w:t>3. Jokaisella on oikeus saada yhteisöltä korvausta niistä vahingoista, joita yhteisön toimielimet tai sen henkilökuntaan kuuluvat ovat aiheuttaneet tehtäviään suorittaessaan, jäsenvaltioiden lainsäädännön yhteisten yleisten periaatteiden mukaisesti.</w:t>
            </w:r>
          </w:p>
          <w:p w:rsidR="00062F0E" w:rsidRPr="00C92A04" w:rsidRDefault="00062F0E" w:rsidP="00F942CC">
            <w:pPr>
              <w:keepNext/>
              <w:keepLines/>
              <w:rPr>
                <w:rFonts w:cs="Arial"/>
                <w:sz w:val="20"/>
                <w:szCs w:val="20"/>
                <w:lang w:val="fi-FI"/>
              </w:rPr>
            </w:pPr>
            <w:r w:rsidRPr="00C92A04">
              <w:rPr>
                <w:rFonts w:cs="Arial"/>
                <w:sz w:val="20"/>
                <w:szCs w:val="20"/>
                <w:lang w:val="fi-FI"/>
              </w:rPr>
              <w:t>4. Jokainen voi ottaa yhteyttä unionin toimielimiin jollakin perussopimusten kielistä, ja hänen on saatava vastaus samalla kielellä.</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42</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Oikeus tutustua asiakirjoihin</w:t>
            </w:r>
          </w:p>
          <w:p w:rsidR="00062F0E" w:rsidRPr="00C92A04" w:rsidRDefault="00062F0E" w:rsidP="00F942CC">
            <w:pPr>
              <w:keepNext/>
              <w:keepLines/>
              <w:rPr>
                <w:rFonts w:cs="Arial"/>
                <w:sz w:val="20"/>
                <w:szCs w:val="20"/>
                <w:lang w:val="fi-FI"/>
              </w:rPr>
            </w:pPr>
            <w:r w:rsidRPr="00C92A04">
              <w:rPr>
                <w:rFonts w:cs="Arial"/>
                <w:sz w:val="20"/>
                <w:szCs w:val="20"/>
                <w:lang w:val="fi-FI"/>
              </w:rPr>
              <w:t>Kaikilla unionin kansalaisilla ja kaikilla luonnollisilla henkilöillä tai oikeushenkilöillä, joiden asuinpaikka tai sääntömääräinen kotipaikka on jossakin jäsenvaltiossa, on oikeus tutustua Euroopan parlamentin, neuvoston ja komission asiakirjoihin.</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43</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Oikeusasiamies</w:t>
            </w:r>
          </w:p>
          <w:p w:rsidR="00062F0E" w:rsidRPr="00C92A04" w:rsidRDefault="00062F0E" w:rsidP="00F942CC">
            <w:pPr>
              <w:keepNext/>
              <w:keepLines/>
              <w:rPr>
                <w:rFonts w:cs="Arial"/>
                <w:sz w:val="20"/>
                <w:szCs w:val="20"/>
                <w:lang w:val="fi-FI"/>
              </w:rPr>
            </w:pPr>
            <w:r w:rsidRPr="00C92A04">
              <w:rPr>
                <w:rFonts w:cs="Arial"/>
                <w:sz w:val="20"/>
                <w:szCs w:val="20"/>
                <w:lang w:val="fi-FI"/>
              </w:rPr>
              <w:t>Kaikilla unionin kansalaisilla ja kaikilla luonnollisilla henkilöillä ja oikeushenkilöillä, joiden asuinpaikka tai sääntömääräinen kotipaikka on jossakin jäsenvaltiossa, on oikeus tehdä unionin oikeusasiamiehelle kantelu, joka koskee yhteisön toimielinten ja laitosten toiminnassa ilmenneitä epäkohtia, lukuun ottamatta yhteisöjen tuomioistuimen ja yhteisöjen ensimmäisen oikeusasteen tuomioistuimen toimintaa lainkäyttöeliminä.</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44</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Oikeus esittää vetoomus</w:t>
            </w:r>
          </w:p>
          <w:p w:rsidR="00062F0E" w:rsidRPr="00C92A04" w:rsidRDefault="00062F0E" w:rsidP="00F942CC">
            <w:pPr>
              <w:keepNext/>
              <w:keepLines/>
              <w:rPr>
                <w:rFonts w:cs="Arial"/>
                <w:sz w:val="20"/>
                <w:szCs w:val="20"/>
                <w:lang w:val="fi-FI"/>
              </w:rPr>
            </w:pPr>
            <w:r w:rsidRPr="00C92A04">
              <w:rPr>
                <w:rFonts w:cs="Arial"/>
                <w:sz w:val="20"/>
                <w:szCs w:val="20"/>
                <w:lang w:val="fi-FI"/>
              </w:rPr>
              <w:t>Kaikilla unionin kansalaisilla ja kaikilla luonnollisilla henkilöillä ja oikeushenkilöillä, joiden asuinpaikka tai sääntömääräinen kotipaikka on jossakin jäsenvaltiossa, on oikeus vedota Euroopan parlamenttiin.</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45</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Liikkumis- ja oleskeluvapaus</w:t>
            </w:r>
          </w:p>
          <w:p w:rsidR="00062F0E" w:rsidRPr="00C92A04" w:rsidRDefault="00062F0E" w:rsidP="00F942CC">
            <w:pPr>
              <w:keepNext/>
              <w:keepLines/>
              <w:rPr>
                <w:rFonts w:cs="Arial"/>
                <w:sz w:val="20"/>
                <w:szCs w:val="20"/>
                <w:lang w:val="fi-FI"/>
              </w:rPr>
            </w:pPr>
            <w:r w:rsidRPr="00C92A04">
              <w:rPr>
                <w:rFonts w:cs="Arial"/>
                <w:sz w:val="20"/>
                <w:szCs w:val="20"/>
                <w:lang w:val="fi-FI"/>
              </w:rPr>
              <w:t>1. Jokaisella unionin kansalaisella on oikeus vapaasti liikkua ja oleskella jäsenvaltioiden alueella.</w:t>
            </w:r>
          </w:p>
          <w:p w:rsidR="00062F0E" w:rsidRPr="00C92A04" w:rsidRDefault="00062F0E" w:rsidP="00F942CC">
            <w:pPr>
              <w:keepNext/>
              <w:keepLines/>
              <w:rPr>
                <w:rFonts w:cs="Arial"/>
                <w:sz w:val="20"/>
                <w:szCs w:val="20"/>
                <w:lang w:val="fi-FI"/>
              </w:rPr>
            </w:pPr>
            <w:r w:rsidRPr="00C92A04">
              <w:rPr>
                <w:rFonts w:cs="Arial"/>
                <w:sz w:val="20"/>
                <w:szCs w:val="20"/>
                <w:lang w:val="fi-FI"/>
              </w:rPr>
              <w:t>2. Liikkumis- ja oleskeluvapaus voidaan Euroopan yhteisön perustamissopimuksen mukaisesti myöntää jäsenvaltion alueella laillisesti asuville kolmansien maiden kansalaisille.</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46</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Diplomaatti- ja konsuliviranomaisten antama suojelu</w:t>
            </w:r>
          </w:p>
          <w:p w:rsidR="00062F0E" w:rsidRPr="00C92A04" w:rsidRDefault="00062F0E" w:rsidP="00F942CC">
            <w:pPr>
              <w:keepNext/>
              <w:keepLines/>
              <w:rPr>
                <w:rFonts w:cs="Arial"/>
                <w:sz w:val="20"/>
                <w:szCs w:val="20"/>
                <w:lang w:val="fi-FI"/>
              </w:rPr>
            </w:pPr>
            <w:r w:rsidRPr="00C92A04">
              <w:rPr>
                <w:rFonts w:cs="Arial"/>
                <w:sz w:val="20"/>
                <w:szCs w:val="20"/>
                <w:lang w:val="fi-FI"/>
              </w:rPr>
              <w:t>Jokainen unionin kansalainen saa kolmannen maan alueella, jossa jäsenvaltiolla, jonka kansalainen hän on, ei ole edustusta, suojelua minkä tahansa jäsenvaltion diplomaatti- ja konsuliviranomaisilta samoin edellytyksin kuin kyseisen jäsenvaltion omat kansalaiset.</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restart"/>
            <w:textDirection w:val="btLr"/>
            <w:vAlign w:val="center"/>
          </w:tcPr>
          <w:p w:rsidR="00062F0E" w:rsidRPr="00C92A04" w:rsidRDefault="00062F0E" w:rsidP="00F942CC">
            <w:pPr>
              <w:ind w:left="113" w:right="113"/>
              <w:jc w:val="center"/>
              <w:rPr>
                <w:rFonts w:cs="Arial"/>
                <w:sz w:val="20"/>
                <w:szCs w:val="20"/>
                <w:lang w:val="fi-FI"/>
              </w:rPr>
            </w:pPr>
            <w:r w:rsidRPr="00C92A04">
              <w:rPr>
                <w:rFonts w:cs="Arial"/>
                <w:sz w:val="20"/>
                <w:szCs w:val="20"/>
                <w:lang w:val="fi-FI"/>
              </w:rPr>
              <w:t>VI LAINKÄYTTÖ</w:t>
            </w: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47</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Oikeus tehokkaisiin oikeussuojakeinoihin ja puolueettomaan tuomioistuimeen</w:t>
            </w:r>
          </w:p>
          <w:p w:rsidR="00062F0E" w:rsidRPr="00C92A04" w:rsidRDefault="00062F0E" w:rsidP="00F942CC">
            <w:pPr>
              <w:keepNext/>
              <w:keepLines/>
              <w:rPr>
                <w:rFonts w:cs="Arial"/>
                <w:sz w:val="20"/>
                <w:szCs w:val="20"/>
                <w:lang w:val="fi-FI"/>
              </w:rPr>
            </w:pPr>
            <w:r w:rsidRPr="00C92A04">
              <w:rPr>
                <w:rFonts w:cs="Arial"/>
                <w:sz w:val="20"/>
                <w:szCs w:val="20"/>
                <w:lang w:val="fi-FI"/>
              </w:rPr>
              <w:t>Jokaisella, jonka unionin oikeudessa taattuja oikeuksia ja vapauksia on loukattu, on oltava tässä artiklassa määrättyjen edellytysten mukaisesti käytettävissään tehokkaat oikeussuojakeinot tuomioistuimessa.</w:t>
            </w:r>
          </w:p>
          <w:p w:rsidR="00062F0E" w:rsidRPr="00C92A04" w:rsidRDefault="00062F0E" w:rsidP="00F942CC">
            <w:pPr>
              <w:keepNext/>
              <w:keepLines/>
              <w:rPr>
                <w:rFonts w:cs="Arial"/>
                <w:sz w:val="20"/>
                <w:szCs w:val="20"/>
                <w:lang w:val="fi-FI"/>
              </w:rPr>
            </w:pPr>
            <w:r w:rsidRPr="00C92A04">
              <w:rPr>
                <w:rFonts w:cs="Arial"/>
                <w:sz w:val="20"/>
                <w:szCs w:val="20"/>
                <w:lang w:val="fi-FI"/>
              </w:rPr>
              <w:t>Jokaisella on oikeus kohtuullisen ajan kuluessa oikeudenmukaiseen ja julkiseen oikeudenkäyntiin riippumattomassa ja puolueettomassa tuomioistuimessa, joka on etukäteen laillisesti perustettu. Jokaisella on</w:t>
            </w:r>
          </w:p>
          <w:p w:rsidR="00062F0E" w:rsidRPr="00C92A04" w:rsidRDefault="00062F0E" w:rsidP="00F942CC">
            <w:pPr>
              <w:keepNext/>
              <w:keepLines/>
              <w:rPr>
                <w:rFonts w:cs="Arial"/>
                <w:sz w:val="20"/>
                <w:szCs w:val="20"/>
                <w:lang w:val="fi-FI"/>
              </w:rPr>
            </w:pPr>
            <w:r w:rsidRPr="00C92A04">
              <w:rPr>
                <w:rFonts w:cs="Arial"/>
                <w:sz w:val="20"/>
                <w:szCs w:val="20"/>
                <w:lang w:val="fi-FI"/>
              </w:rPr>
              <w:t>oltava mahdollisuus saada neuvoja ja antaa toisen henkilön puolustaa ja edustaa itseään.</w:t>
            </w:r>
          </w:p>
          <w:p w:rsidR="00062F0E" w:rsidRPr="00C92A04" w:rsidRDefault="00062F0E" w:rsidP="00F942CC">
            <w:pPr>
              <w:keepNext/>
              <w:keepLines/>
              <w:rPr>
                <w:rFonts w:cs="Arial"/>
                <w:sz w:val="20"/>
                <w:szCs w:val="20"/>
                <w:lang w:val="fi-FI"/>
              </w:rPr>
            </w:pPr>
            <w:r w:rsidRPr="00C92A04">
              <w:rPr>
                <w:rFonts w:cs="Arial"/>
                <w:sz w:val="20"/>
                <w:szCs w:val="20"/>
                <w:lang w:val="fi-FI"/>
              </w:rPr>
              <w:t xml:space="preserve">Maksutonta oikeusapua annetaan niille, joilla ei ole riittäviä varoja, jos tällainen apu on </w:t>
            </w:r>
            <w:r w:rsidRPr="00C92A04">
              <w:rPr>
                <w:rFonts w:cs="Arial"/>
                <w:sz w:val="20"/>
                <w:szCs w:val="20"/>
                <w:lang w:val="fi-FI"/>
              </w:rPr>
              <w:lastRenderedPageBreak/>
              <w:t>tarpeen, jotta asianomainen voisi tehokkaasti käyttää oikeutta saattaa asiansa tuomioistuimen käsiteltäväksi.</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48</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Syyttömyysolettama ja oikeus puolustukseen</w:t>
            </w:r>
          </w:p>
          <w:p w:rsidR="00062F0E" w:rsidRPr="00C92A04" w:rsidRDefault="00062F0E" w:rsidP="00F942CC">
            <w:pPr>
              <w:keepNext/>
              <w:keepLines/>
              <w:rPr>
                <w:rFonts w:cs="Arial"/>
                <w:sz w:val="20"/>
                <w:szCs w:val="20"/>
                <w:lang w:val="fi-FI"/>
              </w:rPr>
            </w:pPr>
            <w:r w:rsidRPr="00C92A04">
              <w:rPr>
                <w:rFonts w:cs="Arial"/>
                <w:sz w:val="20"/>
                <w:szCs w:val="20"/>
                <w:lang w:val="fi-FI"/>
              </w:rPr>
              <w:t>1. Jokaista syytettyä on pidettävä syyttömänä, kunnes hänen syyllisyytensä on laillisesti näytetty toteen.</w:t>
            </w:r>
          </w:p>
          <w:p w:rsidR="00062F0E" w:rsidRPr="00C92A04" w:rsidRDefault="00062F0E" w:rsidP="00F942CC">
            <w:pPr>
              <w:keepNext/>
              <w:keepLines/>
              <w:rPr>
                <w:rFonts w:cs="Arial"/>
                <w:sz w:val="20"/>
                <w:szCs w:val="20"/>
                <w:lang w:val="fi-FI"/>
              </w:rPr>
            </w:pPr>
            <w:r w:rsidRPr="00C92A04">
              <w:rPr>
                <w:rFonts w:cs="Arial"/>
                <w:sz w:val="20"/>
                <w:szCs w:val="20"/>
                <w:lang w:val="fi-FI"/>
              </w:rPr>
              <w:t>2. Jokaiselle syytetylle taataan oikeus puolustukseen.</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49</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Laillisuusperiaate ja rikoksista määrättävien rangaistusten oikeasuhteisuuden periaate</w:t>
            </w:r>
          </w:p>
          <w:p w:rsidR="00062F0E" w:rsidRPr="00C92A04" w:rsidRDefault="00062F0E" w:rsidP="00F942CC">
            <w:pPr>
              <w:keepNext/>
              <w:keepLines/>
              <w:rPr>
                <w:rFonts w:cs="Arial"/>
                <w:sz w:val="20"/>
                <w:szCs w:val="20"/>
                <w:lang w:val="fi-FI"/>
              </w:rPr>
            </w:pPr>
            <w:r w:rsidRPr="00C92A04">
              <w:rPr>
                <w:rFonts w:cs="Arial"/>
                <w:sz w:val="20"/>
                <w:szCs w:val="20"/>
                <w:lang w:val="fi-FI"/>
              </w:rPr>
              <w:t>1. Ketään ei saa pitää syyllisenä rikokseen sellaisen teon tai laiminlyönnin perusteella, joka ei ollut tekohetkellä rikos kansallisen lainsäädännön tai kansainvälisen oikeuden mukaan. Rikoksesta ei saa määrätä sen tekohetkellä sovellettavissa ollutta rangaistusta ankarampaa rangaistusta. Jos rikoksenteon jälkeen laissa säädetään lievemmästä rangaistuksesta, on sovellettava kyseistä lievempää rangaistusta.</w:t>
            </w:r>
          </w:p>
          <w:p w:rsidR="00062F0E" w:rsidRPr="00C92A04" w:rsidRDefault="00062F0E" w:rsidP="00F942CC">
            <w:pPr>
              <w:keepNext/>
              <w:keepLines/>
              <w:rPr>
                <w:rFonts w:cs="Arial"/>
                <w:sz w:val="20"/>
                <w:szCs w:val="20"/>
                <w:lang w:val="fi-FI"/>
              </w:rPr>
            </w:pPr>
            <w:r w:rsidRPr="00C92A04">
              <w:rPr>
                <w:rFonts w:cs="Arial"/>
                <w:sz w:val="20"/>
                <w:szCs w:val="20"/>
                <w:lang w:val="fi-FI"/>
              </w:rPr>
              <w:t>2. Tämän artiklan määräykset eivät estä ryhtymästä oikeudenkäyntiin henkilöä vastaan ja tuomitsemasta häntä rangaistukseen teosta tai laiminlyönnistä, joka kansakuntien yhteisesti tunnustamien yleisten periaatteiden mukaan oli tekohetkellä rikos.</w:t>
            </w:r>
          </w:p>
          <w:p w:rsidR="00062F0E" w:rsidRPr="00C92A04" w:rsidRDefault="00062F0E" w:rsidP="00F942CC">
            <w:pPr>
              <w:keepNext/>
              <w:keepLines/>
              <w:rPr>
                <w:rFonts w:cs="Arial"/>
                <w:sz w:val="20"/>
                <w:szCs w:val="20"/>
                <w:lang w:val="fi-FI"/>
              </w:rPr>
            </w:pPr>
            <w:r w:rsidRPr="00C92A04">
              <w:rPr>
                <w:rFonts w:cs="Arial"/>
                <w:sz w:val="20"/>
                <w:szCs w:val="20"/>
                <w:lang w:val="fi-FI"/>
              </w:rPr>
              <w:t>3. Rangaistus ei saa olla epäsuhteessa rikoksen vakavuuteen.</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50</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Kielto syyttää ja rangaista oikeudenkäynnissä kahdesti samasta rikoksesta</w:t>
            </w:r>
          </w:p>
          <w:p w:rsidR="00062F0E" w:rsidRPr="00C92A04" w:rsidRDefault="00062F0E" w:rsidP="00F942CC">
            <w:pPr>
              <w:keepNext/>
              <w:keepLines/>
              <w:rPr>
                <w:rFonts w:cs="Arial"/>
                <w:sz w:val="20"/>
                <w:szCs w:val="20"/>
                <w:lang w:val="fi-FI"/>
              </w:rPr>
            </w:pPr>
            <w:r w:rsidRPr="00C92A04">
              <w:rPr>
                <w:rFonts w:cs="Arial"/>
                <w:sz w:val="20"/>
                <w:szCs w:val="20"/>
                <w:lang w:val="fi-FI"/>
              </w:rPr>
              <w:t>Ketään ei saa tutkia uudelleen tai rangaista oikeudenkäynnissä rikoksesta, josta hänet on jo unionissa lopullisesti vapautettu tai tuomittu syylliseksi lain mukaisesti.</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restart"/>
            <w:textDirection w:val="btLr"/>
            <w:vAlign w:val="center"/>
          </w:tcPr>
          <w:p w:rsidR="00062F0E" w:rsidRPr="00C92A04" w:rsidRDefault="00062F0E" w:rsidP="00F942CC">
            <w:pPr>
              <w:ind w:left="113" w:right="113"/>
              <w:jc w:val="center"/>
              <w:rPr>
                <w:rFonts w:cs="Arial"/>
                <w:sz w:val="20"/>
                <w:szCs w:val="20"/>
                <w:lang w:val="fi-FI"/>
              </w:rPr>
            </w:pPr>
            <w:r w:rsidRPr="00C92A04">
              <w:rPr>
                <w:rFonts w:cs="Arial"/>
                <w:sz w:val="20"/>
                <w:szCs w:val="20"/>
                <w:lang w:val="fi-FI"/>
              </w:rPr>
              <w:t>VII YLEISET MÄÄRÄYKSET</w:t>
            </w: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51</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Soveltamisala</w:t>
            </w:r>
          </w:p>
          <w:p w:rsidR="00062F0E" w:rsidRPr="00C92A04" w:rsidRDefault="00062F0E" w:rsidP="00F942CC">
            <w:pPr>
              <w:keepNext/>
              <w:keepLines/>
              <w:rPr>
                <w:rFonts w:cs="Arial"/>
                <w:sz w:val="20"/>
                <w:szCs w:val="20"/>
                <w:lang w:val="fi-FI"/>
              </w:rPr>
            </w:pPr>
            <w:r w:rsidRPr="00C92A04">
              <w:rPr>
                <w:rFonts w:cs="Arial"/>
                <w:sz w:val="20"/>
                <w:szCs w:val="20"/>
                <w:lang w:val="fi-FI"/>
              </w:rPr>
              <w:t>1. Tämän perusoikeuskirjan määräykset koskevat unionin toimielimiä ja laitoksia toissijaisuusperiaatteen mukaisesti sekä jäsenvaltioita ainoastaan silloin, kun ne soveltavat unionin oikeutta. Tämän vuoksi ne kunnioittavat tämän perusoikeuskirjan mukaisia oikeuksia, noudattavat sen sisältämiä periaatteita ja edistävät niiden soveltamista kukin toimivaltuuksiensa mukaisesti.</w:t>
            </w:r>
          </w:p>
          <w:p w:rsidR="00062F0E" w:rsidRPr="00C92A04" w:rsidRDefault="00062F0E" w:rsidP="00F942CC">
            <w:pPr>
              <w:keepNext/>
              <w:keepLines/>
              <w:rPr>
                <w:rFonts w:cs="Arial"/>
                <w:sz w:val="20"/>
                <w:szCs w:val="20"/>
                <w:lang w:val="fi-FI"/>
              </w:rPr>
            </w:pPr>
            <w:r w:rsidRPr="00C92A04">
              <w:rPr>
                <w:rFonts w:cs="Arial"/>
                <w:sz w:val="20"/>
                <w:szCs w:val="20"/>
                <w:lang w:val="fi-FI"/>
              </w:rPr>
              <w:t>2. Tällä perusoikeuskirjalla ei luoda yhteisölle ja unionille uusia toimivaltuuksia tai uusia tehtäviä eikä muuteta perussopimuksissa määriteltyjä toimivaltuuksia ja tehtäviä.</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52</w:t>
            </w:r>
          </w:p>
        </w:tc>
        <w:tc>
          <w:tcPr>
            <w:tcW w:w="2590" w:type="pct"/>
          </w:tcPr>
          <w:p w:rsidR="00062F0E" w:rsidRPr="00C92A04" w:rsidRDefault="00062F0E" w:rsidP="00F942CC">
            <w:pPr>
              <w:keepNext/>
              <w:keepLines/>
              <w:rPr>
                <w:rFonts w:cs="Arial"/>
                <w:b/>
                <w:sz w:val="20"/>
                <w:szCs w:val="20"/>
                <w:lang w:val="fi-FI"/>
              </w:rPr>
            </w:pPr>
            <w:proofErr w:type="gramStart"/>
            <w:r w:rsidRPr="00C92A04">
              <w:rPr>
                <w:rFonts w:cs="Arial"/>
                <w:b/>
                <w:sz w:val="20"/>
                <w:szCs w:val="20"/>
                <w:lang w:val="fi-FI"/>
              </w:rPr>
              <w:t>Turvattujen oikeuksien kattavuus</w:t>
            </w:r>
            <w:proofErr w:type="gramEnd"/>
          </w:p>
          <w:p w:rsidR="00062F0E" w:rsidRPr="00C92A04" w:rsidRDefault="00062F0E" w:rsidP="00F942CC">
            <w:pPr>
              <w:keepNext/>
              <w:keepLines/>
              <w:rPr>
                <w:rFonts w:cs="Arial"/>
                <w:sz w:val="20"/>
                <w:szCs w:val="20"/>
                <w:lang w:val="fi-FI"/>
              </w:rPr>
            </w:pPr>
            <w:r w:rsidRPr="00C92A04">
              <w:rPr>
                <w:rFonts w:cs="Arial"/>
                <w:sz w:val="20"/>
                <w:szCs w:val="20"/>
                <w:lang w:val="fi-FI"/>
              </w:rPr>
              <w:t>1. Tässä perusoikeuskirjassa tunnustettujen oikeuksien ja vapauksien käyttämistä voidaan rajoittaa ainoastaan lailla, ja kyseisten oikeuksien ja vapauksien olennaista sisältöä noudattaen. Suhteellisuusperiaatteen mukaisesti rajoituksia voidaan tehdä ainoastaan, jos ne ovat välttämättömiä ja vastaavat tosiasiallisesti unionin tunnustamia yleisen edun mukaisia tavoitteita tai tarvetta suojella muiden henkilöiden oikeuksia ja vapauksia.</w:t>
            </w:r>
          </w:p>
          <w:p w:rsidR="00062F0E" w:rsidRPr="00C92A04" w:rsidRDefault="00062F0E" w:rsidP="00F942CC">
            <w:pPr>
              <w:keepNext/>
              <w:keepLines/>
              <w:rPr>
                <w:rFonts w:cs="Arial"/>
                <w:sz w:val="20"/>
                <w:szCs w:val="20"/>
                <w:lang w:val="fi-FI"/>
              </w:rPr>
            </w:pPr>
            <w:r w:rsidRPr="00C92A04">
              <w:rPr>
                <w:rFonts w:cs="Arial"/>
                <w:sz w:val="20"/>
                <w:szCs w:val="20"/>
                <w:lang w:val="fi-FI"/>
              </w:rPr>
              <w:t>2. Tässä perusoikeuskirjassa tunnustettuja oikeuksia, jotka perustuvat yhteisöjen perustamissopimuksiin tai Euroopan unionista tehtyyn sopimukseen, sovelletaan kyseisissä sopimuksissa määriteltyjen edellytysten ja rajoitusten mukaisesti.</w:t>
            </w:r>
          </w:p>
          <w:p w:rsidR="00062F0E" w:rsidRPr="00C92A04" w:rsidRDefault="00062F0E" w:rsidP="00F942CC">
            <w:pPr>
              <w:keepNext/>
              <w:keepLines/>
              <w:rPr>
                <w:rFonts w:cs="Arial"/>
                <w:sz w:val="20"/>
                <w:szCs w:val="20"/>
                <w:lang w:val="fi-FI"/>
              </w:rPr>
            </w:pPr>
            <w:r w:rsidRPr="00C92A04">
              <w:rPr>
                <w:rFonts w:cs="Arial"/>
                <w:sz w:val="20"/>
                <w:szCs w:val="20"/>
                <w:lang w:val="fi-FI"/>
              </w:rPr>
              <w:t>3. Siltä osin kuin tämän perusoikeuskirjan oikeudet vastaavat ihmisoikeuksien ja perusvapauksien suojaamista koskevassa eurooppalaisessa yleissopimuksessa taattuja oikeuksia, niiden merkitys ja kattavuus</w:t>
            </w:r>
          </w:p>
          <w:p w:rsidR="00062F0E" w:rsidRPr="00C92A04" w:rsidRDefault="00062F0E" w:rsidP="00F942CC">
            <w:pPr>
              <w:keepNext/>
              <w:keepLines/>
              <w:rPr>
                <w:rFonts w:cs="Arial"/>
                <w:sz w:val="20"/>
                <w:szCs w:val="20"/>
                <w:lang w:val="fi-FI"/>
              </w:rPr>
            </w:pPr>
            <w:r w:rsidRPr="00C92A04">
              <w:rPr>
                <w:rFonts w:cs="Arial"/>
                <w:sz w:val="20"/>
                <w:szCs w:val="20"/>
                <w:lang w:val="fi-FI"/>
              </w:rPr>
              <w:t>ovat samat kuin mainitussa yleissopimuksessa. Mitä tässä määrätään, ei estä unionia määräämästä tätä laajemmasta suojasta.</w:t>
            </w:r>
          </w:p>
        </w:tc>
        <w:tc>
          <w:tcPr>
            <w:tcW w:w="1926" w:type="pct"/>
          </w:tcPr>
          <w:p w:rsidR="00062F0E" w:rsidRPr="00C92A04" w:rsidRDefault="00062F0E">
            <w:pPr>
              <w:rPr>
                <w:rFonts w:cs="Arial"/>
                <w:sz w:val="20"/>
                <w:szCs w:val="20"/>
                <w:lang w:val="fi-FI"/>
              </w:rPr>
            </w:pPr>
          </w:p>
        </w:tc>
      </w:tr>
      <w:tr w:rsidR="00F942CC"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53</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Suojan taso</w:t>
            </w:r>
          </w:p>
          <w:p w:rsidR="00062F0E" w:rsidRPr="00C92A04" w:rsidRDefault="00062F0E" w:rsidP="00F942CC">
            <w:pPr>
              <w:keepNext/>
              <w:keepLines/>
              <w:rPr>
                <w:rFonts w:cs="Arial"/>
                <w:sz w:val="20"/>
                <w:szCs w:val="20"/>
                <w:lang w:val="fi-FI"/>
              </w:rPr>
            </w:pPr>
            <w:r w:rsidRPr="00C92A04">
              <w:rPr>
                <w:rFonts w:cs="Arial"/>
                <w:sz w:val="20"/>
                <w:szCs w:val="20"/>
                <w:lang w:val="fi-FI"/>
              </w:rPr>
              <w:t>Tämän perusoikeuskirjan määräyksiä ei saa tulkita siten, että ne rajoittaisivat tai loukkaisivat niitä ihmisoikeuksia ja perusvapauksia, jotka tunnustetaan unionin oikeudessa, kansainvälisessä oikeudessa ja niissä kansainvälisissä yleissopimuksissa, joiden sopimuspuolina unioni, yhteisö tai kaikki jäsenvaltiot ovat, ja erityisesti ihmisoikeuksien ja perusvapauksien suojaamista koskevassa eurooppalaisessa yleissopimuksessa, sekä jäsenvaltioiden perustuslaeissa, niiden soveltamisalojen mukaisesti.</w:t>
            </w:r>
          </w:p>
        </w:tc>
        <w:tc>
          <w:tcPr>
            <w:tcW w:w="1926" w:type="pct"/>
          </w:tcPr>
          <w:p w:rsidR="00062F0E" w:rsidRPr="00C92A04" w:rsidRDefault="00062F0E">
            <w:pPr>
              <w:rPr>
                <w:rFonts w:cs="Arial"/>
                <w:sz w:val="20"/>
                <w:szCs w:val="20"/>
                <w:lang w:val="fi-FI"/>
              </w:rPr>
            </w:pPr>
          </w:p>
        </w:tc>
      </w:tr>
      <w:tr w:rsidR="00C92A04" w:rsidRPr="00C92A04" w:rsidTr="00C92A04">
        <w:tc>
          <w:tcPr>
            <w:tcW w:w="215" w:type="pct"/>
            <w:vMerge/>
            <w:vAlign w:val="center"/>
          </w:tcPr>
          <w:p w:rsidR="00062F0E" w:rsidRPr="00C92A04" w:rsidRDefault="00062F0E" w:rsidP="00F942CC">
            <w:pPr>
              <w:jc w:val="center"/>
              <w:rPr>
                <w:rFonts w:cs="Arial"/>
                <w:sz w:val="20"/>
                <w:szCs w:val="20"/>
                <w:lang w:val="fi-FI"/>
              </w:rPr>
            </w:pPr>
          </w:p>
        </w:tc>
        <w:tc>
          <w:tcPr>
            <w:tcW w:w="269" w:type="pct"/>
            <w:vAlign w:val="center"/>
          </w:tcPr>
          <w:p w:rsidR="00062F0E" w:rsidRPr="00C92A04" w:rsidRDefault="00062F0E" w:rsidP="00F942CC">
            <w:pPr>
              <w:jc w:val="center"/>
              <w:rPr>
                <w:rFonts w:cs="Arial"/>
                <w:sz w:val="20"/>
                <w:szCs w:val="20"/>
                <w:lang w:val="fi-FI"/>
              </w:rPr>
            </w:pPr>
            <w:r w:rsidRPr="00C92A04">
              <w:rPr>
                <w:rFonts w:cs="Arial"/>
                <w:sz w:val="20"/>
                <w:szCs w:val="20"/>
                <w:lang w:val="fi-FI"/>
              </w:rPr>
              <w:t>54</w:t>
            </w:r>
          </w:p>
        </w:tc>
        <w:tc>
          <w:tcPr>
            <w:tcW w:w="2590" w:type="pct"/>
          </w:tcPr>
          <w:p w:rsidR="00062F0E" w:rsidRPr="00C92A04" w:rsidRDefault="00062F0E" w:rsidP="00F942CC">
            <w:pPr>
              <w:keepNext/>
              <w:keepLines/>
              <w:rPr>
                <w:rFonts w:cs="Arial"/>
                <w:b/>
                <w:sz w:val="20"/>
                <w:szCs w:val="20"/>
                <w:lang w:val="fi-FI"/>
              </w:rPr>
            </w:pPr>
            <w:r w:rsidRPr="00C92A04">
              <w:rPr>
                <w:rFonts w:cs="Arial"/>
                <w:b/>
                <w:sz w:val="20"/>
                <w:szCs w:val="20"/>
                <w:lang w:val="fi-FI"/>
              </w:rPr>
              <w:t>Oikeuksien väärinkäytön kielto</w:t>
            </w:r>
          </w:p>
          <w:p w:rsidR="00062F0E" w:rsidRPr="00C92A04" w:rsidRDefault="00062F0E" w:rsidP="00F942CC">
            <w:pPr>
              <w:keepNext/>
              <w:keepLines/>
              <w:rPr>
                <w:rFonts w:cs="Arial"/>
                <w:sz w:val="20"/>
                <w:szCs w:val="20"/>
                <w:lang w:val="fi-FI"/>
              </w:rPr>
            </w:pPr>
            <w:r w:rsidRPr="00C92A04">
              <w:rPr>
                <w:rFonts w:cs="Arial"/>
                <w:sz w:val="20"/>
                <w:szCs w:val="20"/>
                <w:lang w:val="fi-FI"/>
              </w:rPr>
              <w:t>Tämän perusoikeuskirjan määräysten ei saa tulkita antavan oikeutta ryhtyä sellaiseen toimintaan tai tehdä sellaista tekoa, jonka tarkoituksena on tehdä tyhjäksi jokin tässä perusoikeuskirjassa tunnustettu oikeus tai vapaus tai rajoittaa sitä laajemmalti kuin tässä perusoikeuskirjassa on sallittu.</w:t>
            </w:r>
          </w:p>
        </w:tc>
        <w:tc>
          <w:tcPr>
            <w:tcW w:w="1926" w:type="pct"/>
          </w:tcPr>
          <w:p w:rsidR="00062F0E" w:rsidRPr="00C92A04" w:rsidRDefault="00062F0E">
            <w:pPr>
              <w:rPr>
                <w:rFonts w:cs="Arial"/>
                <w:sz w:val="20"/>
                <w:szCs w:val="20"/>
                <w:lang w:val="fi-FI"/>
              </w:rPr>
            </w:pPr>
          </w:p>
        </w:tc>
      </w:tr>
    </w:tbl>
    <w:p w:rsidR="0020633B" w:rsidRPr="009E77E8" w:rsidRDefault="0020633B" w:rsidP="00F942CC">
      <w:pPr>
        <w:rPr>
          <w:lang w:val="fi-FI"/>
        </w:rPr>
      </w:pPr>
    </w:p>
    <w:sectPr w:rsidR="0020633B" w:rsidRPr="009E77E8" w:rsidSect="00F942C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E6F"/>
    <w:multiLevelType w:val="hybridMultilevel"/>
    <w:tmpl w:val="0E7E38E8"/>
    <w:lvl w:ilvl="0" w:tplc="E8E4075E">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nsid w:val="07D65041"/>
    <w:multiLevelType w:val="hybridMultilevel"/>
    <w:tmpl w:val="4878A65E"/>
    <w:lvl w:ilvl="0" w:tplc="E8E4075E">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01"/>
    <w:rsid w:val="00062F0E"/>
    <w:rsid w:val="0020633B"/>
    <w:rsid w:val="00402668"/>
    <w:rsid w:val="00435CD9"/>
    <w:rsid w:val="00500004"/>
    <w:rsid w:val="00595EF3"/>
    <w:rsid w:val="006073C9"/>
    <w:rsid w:val="00622A0C"/>
    <w:rsid w:val="00634B02"/>
    <w:rsid w:val="00707652"/>
    <w:rsid w:val="00902D6B"/>
    <w:rsid w:val="00911002"/>
    <w:rsid w:val="009D5AC4"/>
    <w:rsid w:val="009E77E8"/>
    <w:rsid w:val="00B07201"/>
    <w:rsid w:val="00C92A04"/>
    <w:rsid w:val="00F85AD1"/>
    <w:rsid w:val="00F9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B0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073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B0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0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2220</Words>
  <Characters>17991</Characters>
  <Application>Microsoft Office Word</Application>
  <DocSecurity>4</DocSecurity>
  <Lines>149</Lines>
  <Paragraphs>40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20171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Tyynismaa, Laura</dc:creator>
  <cp:lastModifiedBy>Teuhola Suvi VM</cp:lastModifiedBy>
  <cp:revision>2</cp:revision>
  <dcterms:created xsi:type="dcterms:W3CDTF">2017-09-29T09:28:00Z</dcterms:created>
  <dcterms:modified xsi:type="dcterms:W3CDTF">2017-09-29T09:28:00Z</dcterms:modified>
</cp:coreProperties>
</file>